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17D44E">
      <w:pPr>
        <w:spacing w:before="157" w:beforeLines="50" w:after="157" w:afterLines="50"/>
        <w:ind w:right="-313" w:rightChars="-149"/>
        <w:jc w:val="left"/>
        <w:rPr>
          <w:rFonts w:ascii="黑体" w:hAnsi="黑体" w:eastAsia="黑体"/>
          <w:bCs/>
          <w:color w:val="000000"/>
          <w:szCs w:val="21"/>
        </w:rPr>
      </w:pPr>
      <w:r>
        <w:rPr>
          <w:rFonts w:ascii="黑体" w:hAnsi="黑体" w:eastAsia="黑体"/>
          <w:bCs/>
          <w:color w:val="000000"/>
          <w:szCs w:val="21"/>
        </w:rPr>
        <mc:AlternateContent>
          <mc:Choice Requires="wps">
            <w:drawing>
              <wp:anchor distT="0" distB="0" distL="114300" distR="114300" simplePos="0" relativeHeight="251663360" behindDoc="0" locked="1" layoutInCell="1" allowOverlap="1">
                <wp:simplePos x="0" y="0"/>
                <wp:positionH relativeFrom="margin">
                  <wp:posOffset>-243205</wp:posOffset>
                </wp:positionH>
                <wp:positionV relativeFrom="margin">
                  <wp:posOffset>-405765</wp:posOffset>
                </wp:positionV>
                <wp:extent cx="1811655" cy="657860"/>
                <wp:effectExtent l="0" t="0" r="1905" b="12700"/>
                <wp:wrapNone/>
                <wp:docPr id="14" name="fmFrame1"/>
                <wp:cNvGraphicFramePr/>
                <a:graphic xmlns:a="http://schemas.openxmlformats.org/drawingml/2006/main">
                  <a:graphicData uri="http://schemas.microsoft.com/office/word/2010/wordprocessingShape">
                    <wps:wsp>
                      <wps:cNvSpPr txBox="1">
                        <a:spLocks noChangeArrowheads="1"/>
                      </wps:cNvSpPr>
                      <wps:spPr bwMode="auto">
                        <a:xfrm>
                          <a:off x="0" y="0"/>
                          <a:ext cx="1811655" cy="657860"/>
                        </a:xfrm>
                        <a:prstGeom prst="rect">
                          <a:avLst/>
                        </a:prstGeom>
                        <a:solidFill>
                          <a:srgbClr val="FFFFFF"/>
                        </a:solidFill>
                        <a:ln>
                          <a:noFill/>
                        </a:ln>
                      </wps:spPr>
                      <wps:txbx>
                        <w:txbxContent>
                          <w:p w14:paraId="2040FBA4">
                            <w:pPr>
                              <w:pStyle w:val="18"/>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6EF2ADFA">
                            <w:pPr>
                              <w:pStyle w:val="18"/>
                              <w:rPr>
                                <w:rFonts w:cs="黑体"/>
                              </w:rPr>
                            </w:pPr>
                            <w:r>
                              <w:rPr>
                                <w:rFonts w:cs="黑体"/>
                              </w:rPr>
                              <w:t>A</w:t>
                            </w:r>
                            <w:r>
                              <w:rPr>
                                <w:rFonts w:hint="eastAsia" w:cs="黑体"/>
                              </w:rPr>
                              <w:t xml:space="preserve"> </w:t>
                            </w:r>
                            <w:r>
                              <w:rPr>
                                <w:rFonts w:cs="黑体"/>
                              </w:rPr>
                              <w:t>00</w:t>
                            </w:r>
                          </w:p>
                          <w:p w14:paraId="2348D7D3">
                            <w:pPr>
                              <w:pStyle w:val="18"/>
                              <w:rPr>
                                <w:rFonts w:cs="黑体"/>
                              </w:rPr>
                            </w:pPr>
                            <w:r>
                              <w:rPr>
                                <w:rFonts w:hint="eastAsia" w:cs="黑体"/>
                              </w:rPr>
                              <w:t>备案号：</w:t>
                            </w:r>
                          </w:p>
                          <w:p w14:paraId="7D90241C">
                            <w:pPr>
                              <w:pStyle w:val="18"/>
                            </w:pP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19.15pt;margin-top:-31.95pt;height:51.8pt;width:142.65pt;mso-position-horizontal-relative:margin;mso-position-vertical-relative:margin;z-index:251663360;mso-width-relative:page;mso-height-relative:page;" fillcolor="#FFFFFF" filled="t" stroked="f" coordsize="21600,21600" o:gfxdata="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FRblg2gAAAAoBAAAPAAAAAAAA&#10;AAEAIAAAACIAAABkcnMvZG93bnJldi54bWxQSwECFAAUAAAACACHTuJAZiSkDRACAAAsBAAADgAA&#10;AAAAAAABACAAAAApAQAAZHJzL2Uyb0RvYy54bWxQSwUGAAAAAAYABgBZAQAAqwUAAAAA&#10;">
                <v:fill on="t" focussize="0,0"/>
                <v:stroke on="f"/>
                <v:imagedata o:title=""/>
                <o:lock v:ext="edit" aspectratio="f"/>
                <v:textbox inset="0mm,0mm,0mm,0mm">
                  <w:txbxContent>
                    <w:p w14:paraId="2040FBA4">
                      <w:pPr>
                        <w:pStyle w:val="18"/>
                        <w:rPr>
                          <w:rFonts w:cs="黑体"/>
                        </w:rPr>
                      </w:pPr>
                      <w:r>
                        <w:rPr>
                          <w:rFonts w:cs="黑体"/>
                        </w:rPr>
                        <w:t xml:space="preserve">ICS </w:t>
                      </w:r>
                      <w:r>
                        <w:rPr>
                          <w:rFonts w:hint="eastAsia" w:cs="黑体"/>
                        </w:rPr>
                        <w:t>03</w:t>
                      </w:r>
                      <w:r>
                        <w:rPr>
                          <w:rFonts w:cs="黑体"/>
                        </w:rPr>
                        <w:t>.</w:t>
                      </w:r>
                      <w:r>
                        <w:rPr>
                          <w:rFonts w:hint="eastAsia" w:cs="黑体"/>
                        </w:rPr>
                        <w:t>120</w:t>
                      </w:r>
                      <w:r>
                        <w:rPr>
                          <w:rFonts w:cs="黑体"/>
                        </w:rPr>
                        <w:t>.</w:t>
                      </w:r>
                      <w:r>
                        <w:rPr>
                          <w:rFonts w:hint="eastAsia" w:cs="黑体"/>
                        </w:rPr>
                        <w:t>20</w:t>
                      </w:r>
                    </w:p>
                    <w:p w14:paraId="6EF2ADFA">
                      <w:pPr>
                        <w:pStyle w:val="18"/>
                        <w:rPr>
                          <w:rFonts w:cs="黑体"/>
                        </w:rPr>
                      </w:pPr>
                      <w:r>
                        <w:rPr>
                          <w:rFonts w:cs="黑体"/>
                        </w:rPr>
                        <w:t>A</w:t>
                      </w:r>
                      <w:r>
                        <w:rPr>
                          <w:rFonts w:hint="eastAsia" w:cs="黑体"/>
                        </w:rPr>
                        <w:t xml:space="preserve"> </w:t>
                      </w:r>
                      <w:r>
                        <w:rPr>
                          <w:rFonts w:cs="黑体"/>
                        </w:rPr>
                        <w:t>00</w:t>
                      </w:r>
                    </w:p>
                    <w:p w14:paraId="2348D7D3">
                      <w:pPr>
                        <w:pStyle w:val="18"/>
                        <w:rPr>
                          <w:rFonts w:cs="黑体"/>
                        </w:rPr>
                      </w:pPr>
                      <w:r>
                        <w:rPr>
                          <w:rFonts w:hint="eastAsia" w:cs="黑体"/>
                        </w:rPr>
                        <w:t>备案号：</w:t>
                      </w:r>
                    </w:p>
                    <w:p w14:paraId="7D90241C">
                      <w:pPr>
                        <w:pStyle w:val="18"/>
                      </w:pPr>
                    </w:p>
                  </w:txbxContent>
                </v:textbox>
                <w10:anchorlock/>
              </v:shape>
            </w:pict>
          </mc:Fallback>
        </mc:AlternateContent>
      </w:r>
    </w:p>
    <w:p w14:paraId="2FB27996">
      <w:pPr>
        <w:spacing w:before="157" w:beforeLines="50" w:after="157" w:afterLines="50"/>
        <w:jc w:val="left"/>
        <w:rPr>
          <w:rFonts w:ascii="宋体" w:hAnsi="宋体"/>
          <w:bCs/>
          <w:color w:val="000000"/>
          <w:sz w:val="32"/>
          <w:szCs w:val="32"/>
        </w:rPr>
      </w:pPr>
    </w:p>
    <w:p w14:paraId="5C7122BB">
      <w:pPr>
        <w:spacing w:before="157" w:beforeLines="50" w:after="157" w:afterLines="50"/>
        <w:jc w:val="left"/>
        <w:rPr>
          <w:rFonts w:ascii="宋体" w:hAnsi="宋体"/>
          <w:bCs/>
          <w:color w:val="000000"/>
          <w:sz w:val="32"/>
          <w:szCs w:val="32"/>
        </w:rPr>
      </w:pPr>
      <w:r>
        <w:rPr>
          <w:rFonts w:ascii="宋体" w:hAnsi="宋体"/>
          <w:bCs/>
          <w:color w:val="000000"/>
          <w:sz w:val="32"/>
          <w:szCs w:val="32"/>
        </w:rPr>
        <mc:AlternateContent>
          <mc:Choice Requires="wps">
            <w:drawing>
              <wp:anchor distT="0" distB="0" distL="114300" distR="114300" simplePos="0" relativeHeight="251662336" behindDoc="0" locked="0" layoutInCell="1" allowOverlap="1">
                <wp:simplePos x="0" y="0"/>
                <wp:positionH relativeFrom="column">
                  <wp:posOffset>-283845</wp:posOffset>
                </wp:positionH>
                <wp:positionV relativeFrom="paragraph">
                  <wp:posOffset>485140</wp:posOffset>
                </wp:positionV>
                <wp:extent cx="6120130" cy="0"/>
                <wp:effectExtent l="0" t="4445" r="0" b="5080"/>
                <wp:wrapNone/>
                <wp:docPr id="12" name="AutoShape 6"/>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6" o:spid="_x0000_s1026" o:spt="32" type="#_x0000_t32" style="position:absolute;left:0pt;margin-left:-22.35pt;margin-top:38.2pt;height:0pt;width:481.9pt;z-index:251662336;mso-width-relative:page;mso-height-relative:page;" filled="f" stroked="t" coordsize="21600,21600" o:gfxdata="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lrqIYNgAAAAJAQAADwAAAAAAAAABACAA&#10;AAAiAAAAZHJzL2Rvd25yZXYueG1sUEsBAhQAFAAAAAgAh07iQF92Of3UAQAAswMAAA4AAAAAAAAA&#10;AQAgAAAAJwEAAGRycy9lMm9Eb2MueG1sUEsFBgAAAAAGAAYAWQEAAG0FAAAAAA==&#10;">
                <v:fill on="f" focussize="0,0"/>
                <v:stroke color="#000000" joinstyle="round"/>
                <v:imagedata o:title=""/>
                <o:lock v:ext="edit" aspectratio="f"/>
              </v:shape>
            </w:pict>
          </mc:Fallback>
        </mc:AlternateContent>
      </w:r>
      <w:r>
        <w:rPr>
          <w:rFonts w:ascii="宋体" w:hAnsi="宋体"/>
          <w:bCs/>
          <w:color w:val="000000"/>
          <w:sz w:val="32"/>
          <w:szCs w:val="32"/>
        </w:rPr>
        <mc:AlternateContent>
          <mc:Choice Requires="wps">
            <w:drawing>
              <wp:anchor distT="0" distB="0" distL="114300" distR="114300" simplePos="0" relativeHeight="251659264" behindDoc="0" locked="1" layoutInCell="1" allowOverlap="1">
                <wp:simplePos x="0" y="0"/>
                <wp:positionH relativeFrom="margin">
                  <wp:posOffset>2696845</wp:posOffset>
                </wp:positionH>
                <wp:positionV relativeFrom="margin">
                  <wp:posOffset>-250825</wp:posOffset>
                </wp:positionV>
                <wp:extent cx="3232150" cy="588010"/>
                <wp:effectExtent l="0" t="0" r="13970" b="6350"/>
                <wp:wrapNone/>
                <wp:docPr id="13" name="Text Box 3"/>
                <wp:cNvGraphicFramePr/>
                <a:graphic xmlns:a="http://schemas.openxmlformats.org/drawingml/2006/main">
                  <a:graphicData uri="http://schemas.microsoft.com/office/word/2010/wordprocessingShape">
                    <wps:wsp>
                      <wps:cNvSpPr txBox="1">
                        <a:spLocks noChangeArrowheads="1"/>
                      </wps:cNvSpPr>
                      <wps:spPr bwMode="auto">
                        <a:xfrm>
                          <a:off x="0" y="0"/>
                          <a:ext cx="3232150" cy="588010"/>
                        </a:xfrm>
                        <a:prstGeom prst="rect">
                          <a:avLst/>
                        </a:prstGeom>
                        <a:solidFill>
                          <a:srgbClr val="FFFFFF"/>
                        </a:solidFill>
                        <a:ln>
                          <a:noFill/>
                        </a:ln>
                      </wps:spPr>
                      <wps:txbx>
                        <w:txbxContent>
                          <w:p w14:paraId="7C3AC43E">
                            <w:pPr>
                              <w:pStyle w:val="18"/>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left:212.35pt;margin-top:-19.75pt;height:46.3pt;width:254.5pt;mso-position-horizontal-relative:margin;mso-position-vertical-relative:margin;z-index:251659264;mso-width-relative:page;mso-height-relative:page;" fillcolor="#FFFFFF" filled="t" stroked="f" coordsize="21600,21600" o:gfxdata="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XUvke2gAAAAoBAAAPAAAAAAAA&#10;AAEAIAAAACIAAABkcnMvZG93bnJldi54bWxQSwECFAAUAAAACACHTuJAlzgVJhACAAAuBAAADgAA&#10;AAAAAAABACAAAAApAQAAZHJzL2Uyb0RvYy54bWxQSwUGAAAAAAYABgBZAQAAqwUAAAAA&#10;">
                <v:fill on="t" focussize="0,0"/>
                <v:stroke on="f"/>
                <v:imagedata o:title=""/>
                <o:lock v:ext="edit" aspectratio="f"/>
                <v:textbox inset="0mm,0mm,0mm,0mm">
                  <w:txbxContent>
                    <w:p w14:paraId="7C3AC43E">
                      <w:pPr>
                        <w:pStyle w:val="18"/>
                        <w:rPr>
                          <w:rFonts w:ascii="Times New Roman" w:eastAsia="楷体_GB2312"/>
                          <w:spacing w:val="2"/>
                          <w:position w:val="6"/>
                          <w:sz w:val="72"/>
                          <w:szCs w:val="72"/>
                        </w:rPr>
                      </w:pPr>
                      <w:r>
                        <w:rPr>
                          <w:rFonts w:hint="eastAsia" w:ascii="Times New Roman" w:eastAsia="楷体_GB2312"/>
                          <w:spacing w:val="2"/>
                          <w:position w:val="6"/>
                          <w:sz w:val="72"/>
                          <w:szCs w:val="72"/>
                        </w:rPr>
                        <w:t>T/ZGXCFZXH</w:t>
                      </w:r>
                      <w:r>
                        <w:rPr>
                          <w:rFonts w:ascii="Times New Roman" w:eastAsia="楷体_GB2312"/>
                          <w:spacing w:val="2"/>
                          <w:position w:val="6"/>
                          <w:sz w:val="72"/>
                          <w:szCs w:val="72"/>
                        </w:rPr>
                        <w:t>B</w:t>
                      </w:r>
                    </w:p>
                  </w:txbxContent>
                </v:textbox>
                <w10:anchorlock/>
              </v:shape>
            </w:pict>
          </mc:Fallback>
        </mc:AlternateContent>
      </w:r>
      <w:r>
        <w:rPr>
          <w:rFonts w:ascii="宋体" w:hAnsi="宋体"/>
          <w:bCs/>
          <w:color w:val="000000"/>
          <w:sz w:val="32"/>
          <w:szCs w:val="32"/>
        </w:rPr>
        <mc:AlternateContent>
          <mc:Choice Requires="wps">
            <w:drawing>
              <wp:anchor distT="0" distB="0" distL="114300" distR="114300" simplePos="0" relativeHeight="251660288" behindDoc="0" locked="1" layoutInCell="1" allowOverlap="1">
                <wp:simplePos x="0" y="0"/>
                <wp:positionH relativeFrom="margin">
                  <wp:posOffset>-243205</wp:posOffset>
                </wp:positionH>
                <wp:positionV relativeFrom="margin">
                  <wp:posOffset>456565</wp:posOffset>
                </wp:positionV>
                <wp:extent cx="6120130" cy="391160"/>
                <wp:effectExtent l="0" t="0" r="6350" b="5080"/>
                <wp:wrapNone/>
                <wp:docPr id="11"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14:paraId="7CF2B40F">
                            <w:pPr>
                              <w:pStyle w:val="19"/>
                              <w:rPr>
                                <w:spacing w:val="0"/>
                                <w:w w:val="120"/>
                                <w:szCs w:val="48"/>
                              </w:rPr>
                            </w:pPr>
                            <w:r>
                              <w:rPr>
                                <w:rFonts w:hint="eastAsia"/>
                                <w:spacing w:val="0"/>
                                <w:w w:val="120"/>
                                <w:szCs w:val="48"/>
                              </w:rPr>
                              <w:t>中国乡村发展协会团体标准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19.15pt;margin-top:35.95pt;height:30.8pt;width:481.9pt;mso-position-horizontal-relative:margin;mso-position-vertical-relative:margin;z-index:251660288;mso-width-relative:page;mso-height-relative:page;" fillcolor="#FFFFFF" filled="t" stroked="f" coordsize="21600,21600" o:gfxdata="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Z833toAAAAKAQAADwAAAAAAAAAB&#10;ACAAAAAiAAAAZHJzL2Rvd25yZXYueG1sUEsBAhQAFAAAAAgAh07iQL3j9esOAgAALAQAAA4AAAAA&#10;AAAAAQAgAAAAKQEAAGRycy9lMm9Eb2MueG1sUEsFBgAAAAAGAAYAWQEAAKkFAAAAAA==&#10;">
                <v:fill on="t" focussize="0,0"/>
                <v:stroke on="f"/>
                <v:imagedata o:title=""/>
                <o:lock v:ext="edit" aspectratio="f"/>
                <v:textbox inset="0mm,0mm,0mm,0mm">
                  <w:txbxContent>
                    <w:p w14:paraId="7CF2B40F">
                      <w:pPr>
                        <w:pStyle w:val="19"/>
                        <w:rPr>
                          <w:spacing w:val="0"/>
                          <w:w w:val="120"/>
                          <w:szCs w:val="48"/>
                        </w:rPr>
                      </w:pPr>
                      <w:r>
                        <w:rPr>
                          <w:rFonts w:hint="eastAsia"/>
                          <w:spacing w:val="0"/>
                          <w:w w:val="120"/>
                          <w:szCs w:val="48"/>
                        </w:rPr>
                        <w:t>中国乡村发展协会团体标准</w:t>
                      </w:r>
                    </w:p>
                  </w:txbxContent>
                </v:textbox>
                <w10:anchorlock/>
              </v:shape>
            </w:pict>
          </mc:Fallback>
        </mc:AlternateContent>
      </w:r>
      <w:r>
        <w:rPr>
          <w:rFonts w:ascii="宋体" w:hAnsi="宋体"/>
          <w:bCs/>
          <w:color w:val="000000"/>
          <w:sz w:val="32"/>
          <w:szCs w:val="32"/>
        </w:rPr>
        <mc:AlternateContent>
          <mc:Choice Requires="wps">
            <w:drawing>
              <wp:anchor distT="0" distB="0" distL="114300" distR="114300" simplePos="0" relativeHeight="251661312" behindDoc="0" locked="1" layoutInCell="1" allowOverlap="1">
                <wp:simplePos x="0" y="0"/>
                <wp:positionH relativeFrom="margin">
                  <wp:posOffset>-243205</wp:posOffset>
                </wp:positionH>
                <wp:positionV relativeFrom="margin">
                  <wp:posOffset>847090</wp:posOffset>
                </wp:positionV>
                <wp:extent cx="6113145" cy="860425"/>
                <wp:effectExtent l="0" t="0" r="8255" b="3175"/>
                <wp:wrapNone/>
                <wp:docPr id="10" name="fmFrame3"/>
                <wp:cNvGraphicFramePr/>
                <a:graphic xmlns:a="http://schemas.openxmlformats.org/drawingml/2006/main">
                  <a:graphicData uri="http://schemas.microsoft.com/office/word/2010/wordprocessingShape">
                    <wps:wsp>
                      <wps:cNvSpPr txBox="1">
                        <a:spLocks noChangeArrowheads="1"/>
                      </wps:cNvSpPr>
                      <wps:spPr bwMode="auto">
                        <a:xfrm>
                          <a:off x="0" y="0"/>
                          <a:ext cx="6113145" cy="860425"/>
                        </a:xfrm>
                        <a:prstGeom prst="rect">
                          <a:avLst/>
                        </a:prstGeom>
                        <a:solidFill>
                          <a:srgbClr val="FFFFFF"/>
                        </a:solidFill>
                        <a:ln>
                          <a:noFill/>
                        </a:ln>
                      </wps:spPr>
                      <wps:txbx>
                        <w:txbxContent>
                          <w:p w14:paraId="0E9DBA9D">
                            <w:pPr>
                              <w:pStyle w:val="20"/>
                              <w:spacing w:before="156" w:after="156"/>
                              <w:rPr>
                                <w:rFonts w:ascii="黑体" w:hAnsi="黑体" w:eastAsia="黑体"/>
                              </w:rPr>
                            </w:pPr>
                            <w:r>
                              <w:rPr>
                                <w:rFonts w:ascii="黑体" w:hAnsi="黑体" w:eastAsia="黑体"/>
                              </w:rPr>
                              <w:t>T</w:t>
                            </w:r>
                            <w:r>
                              <w:rPr>
                                <w:rFonts w:hint="eastAsia" w:ascii="黑体" w:hAnsi="黑体" w:eastAsia="黑体"/>
                              </w:rPr>
                              <w:t>/ZGXCFZXH</w:t>
                            </w:r>
                            <w:r>
                              <w:rPr>
                                <w:rFonts w:ascii="黑体" w:hAnsi="黑体" w:eastAsia="黑体"/>
                              </w:rPr>
                              <w:t xml:space="preserve"> </w:t>
                            </w:r>
                            <w:r>
                              <w:rPr>
                                <w:rFonts w:hint="eastAsia" w:ascii="黑体" w:hAnsi="黑体" w:eastAsia="黑体"/>
                              </w:rPr>
                              <w:t>0001.</w:t>
                            </w:r>
                            <w:r>
                              <w:rPr>
                                <w:rFonts w:hint="eastAsia" w:ascii="黑体" w:hAnsi="黑体" w:eastAsia="黑体"/>
                                <w:lang w:val="en-US" w:eastAsia="zh-CN"/>
                              </w:rPr>
                              <w:t>24</w:t>
                            </w:r>
                            <w:r>
                              <w:rPr>
                                <w:rFonts w:hint="eastAsia" w:ascii="黑体" w:hAnsi="黑体" w:eastAsia="黑体"/>
                              </w:rPr>
                              <w:t>-2024</w:t>
                            </w:r>
                          </w:p>
                          <w:p w14:paraId="66903169">
                            <w:pPr>
                              <w:pStyle w:val="20"/>
                              <w:rPr>
                                <w:rFonts w:ascii="黑体" w:hAnsi="黑体" w:eastAsia="黑体"/>
                              </w:rPr>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19.15pt;margin-top:66.7pt;height:67.75pt;width:481.35pt;mso-position-horizontal-relative:margin;mso-position-vertical-relative:margin;z-index:251661312;mso-width-relative:page;mso-height-relative:page;" fillcolor="#FFFFFF" filled="t" stroked="f" coordsize="21600,21600" o:gfxdata="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135aH2gAAAAsBAAAPAAAAAAAA&#10;AAEAIAAAACIAAABkcnMvZG93bnJldi54bWxQSwECFAAUAAAACACHTuJAi1G1nxACAAAsBAAADgAA&#10;AAAAAAABACAAAAApAQAAZHJzL2Uyb0RvYy54bWxQSwUGAAAAAAYABgBZAQAAqwUAAAAA&#10;">
                <v:fill on="t" focussize="0,0"/>
                <v:stroke on="f"/>
                <v:imagedata o:title=""/>
                <o:lock v:ext="edit" aspectratio="f"/>
                <v:textbox inset="0mm,0mm,0mm,0mm">
                  <w:txbxContent>
                    <w:p w14:paraId="0E9DBA9D">
                      <w:pPr>
                        <w:pStyle w:val="20"/>
                        <w:spacing w:before="156" w:after="156"/>
                        <w:rPr>
                          <w:rFonts w:ascii="黑体" w:hAnsi="黑体" w:eastAsia="黑体"/>
                        </w:rPr>
                      </w:pPr>
                      <w:r>
                        <w:rPr>
                          <w:rFonts w:ascii="黑体" w:hAnsi="黑体" w:eastAsia="黑体"/>
                        </w:rPr>
                        <w:t>T</w:t>
                      </w:r>
                      <w:r>
                        <w:rPr>
                          <w:rFonts w:hint="eastAsia" w:ascii="黑体" w:hAnsi="黑体" w:eastAsia="黑体"/>
                        </w:rPr>
                        <w:t>/ZGXCFZXH</w:t>
                      </w:r>
                      <w:r>
                        <w:rPr>
                          <w:rFonts w:ascii="黑体" w:hAnsi="黑体" w:eastAsia="黑体"/>
                        </w:rPr>
                        <w:t xml:space="preserve"> </w:t>
                      </w:r>
                      <w:r>
                        <w:rPr>
                          <w:rFonts w:hint="eastAsia" w:ascii="黑体" w:hAnsi="黑体" w:eastAsia="黑体"/>
                        </w:rPr>
                        <w:t>0001.</w:t>
                      </w:r>
                      <w:r>
                        <w:rPr>
                          <w:rFonts w:hint="eastAsia" w:ascii="黑体" w:hAnsi="黑体" w:eastAsia="黑体"/>
                          <w:lang w:val="en-US" w:eastAsia="zh-CN"/>
                        </w:rPr>
                        <w:t>24</w:t>
                      </w:r>
                      <w:r>
                        <w:rPr>
                          <w:rFonts w:hint="eastAsia" w:ascii="黑体" w:hAnsi="黑体" w:eastAsia="黑体"/>
                        </w:rPr>
                        <w:t>-2024</w:t>
                      </w:r>
                    </w:p>
                    <w:p w14:paraId="66903169">
                      <w:pPr>
                        <w:pStyle w:val="20"/>
                        <w:rPr>
                          <w:rFonts w:ascii="黑体" w:hAnsi="黑体" w:eastAsia="黑体"/>
                        </w:rPr>
                      </w:pPr>
                    </w:p>
                  </w:txbxContent>
                </v:textbox>
                <w10:anchorlock/>
              </v:shape>
            </w:pict>
          </mc:Fallback>
        </mc:AlternateContent>
      </w:r>
    </w:p>
    <w:p w14:paraId="7ADE9210">
      <w:pPr>
        <w:keepNext w:val="0"/>
        <w:keepLines w:val="0"/>
        <w:pageBreakBefore w:val="0"/>
        <w:widowControl w:val="0"/>
        <w:kinsoku/>
        <w:wordWrap/>
        <w:overflowPunct/>
        <w:topLinePunct w:val="0"/>
        <w:autoSpaceDE/>
        <w:autoSpaceDN/>
        <w:bidi w:val="0"/>
        <w:adjustRightInd/>
        <w:snapToGrid/>
        <w:spacing w:before="2268" w:after="567"/>
        <w:jc w:val="center"/>
        <w:textAlignment w:val="auto"/>
        <w:rPr>
          <w:rFonts w:ascii="黑体" w:hAnsi="黑体" w:eastAsia="黑体"/>
          <w:bCs/>
          <w:color w:val="000000"/>
          <w:sz w:val="52"/>
          <w:szCs w:val="52"/>
        </w:rPr>
      </w:pPr>
      <w:r>
        <w:rPr>
          <w:rFonts w:hint="eastAsia" w:ascii="黑体" w:hAnsi="黑体" w:eastAsia="黑体"/>
          <w:bCs/>
          <w:color w:val="000000"/>
          <w:sz w:val="52"/>
          <w:szCs w:val="52"/>
          <w:lang w:val="en-US" w:eastAsia="zh-CN"/>
        </w:rPr>
        <w:t>道地</w:t>
      </w:r>
      <w:r>
        <w:rPr>
          <w:rFonts w:hint="eastAsia" w:ascii="黑体" w:hAnsi="黑体" w:eastAsia="黑体"/>
          <w:bCs/>
          <w:color w:val="000000"/>
          <w:sz w:val="52"/>
          <w:szCs w:val="52"/>
        </w:rPr>
        <w:t xml:space="preserve">药材集采交易标准 </w:t>
      </w:r>
      <w:r>
        <w:rPr>
          <w:rFonts w:hint="eastAsia" w:ascii="黑体" w:hAnsi="黑体" w:eastAsia="黑体"/>
          <w:bCs/>
          <w:color w:val="000000"/>
          <w:sz w:val="52"/>
          <w:szCs w:val="52"/>
          <w:lang w:val="en-US" w:eastAsia="zh-CN"/>
        </w:rPr>
        <w:t>广</w:t>
      </w:r>
      <w:r>
        <w:rPr>
          <w:rFonts w:hint="eastAsia" w:ascii="黑体" w:hAnsi="黑体" w:eastAsia="黑体"/>
          <w:bCs/>
          <w:color w:val="000000"/>
          <w:sz w:val="52"/>
          <w:szCs w:val="52"/>
        </w:rPr>
        <w:t>肉桂</w:t>
      </w:r>
    </w:p>
    <w:p w14:paraId="077CD1D1">
      <w:pPr>
        <w:spacing w:before="157" w:beforeLines="50" w:after="157" w:afterLines="50"/>
        <w:ind w:left="-420" w:leftChars="-200" w:right="-304" w:rightChars="-145" w:firstLine="0" w:firstLineChars="0"/>
        <w:jc w:val="center"/>
        <w:rPr>
          <w:rFonts w:hint="eastAsia" w:ascii="黑体" w:hAnsi="黑体" w:eastAsia="黑体" w:cs="黑体"/>
          <w:bCs/>
          <w:sz w:val="28"/>
          <w:szCs w:val="28"/>
        </w:rPr>
      </w:pPr>
      <w:r>
        <w:rPr>
          <w:rFonts w:hint="eastAsia" w:ascii="黑体" w:hAnsi="黑体" w:eastAsia="黑体" w:cs="黑体"/>
          <w:i w:val="0"/>
          <w:iCs w:val="0"/>
          <w:caps w:val="0"/>
          <w:color w:val="000000" w:themeColor="text1"/>
          <w:spacing w:val="10"/>
          <w:sz w:val="28"/>
          <w:szCs w:val="28"/>
          <w14:textFill>
            <w14:solidFill>
              <w14:schemeClr w14:val="tx1"/>
            </w14:solidFill>
          </w14:textFill>
        </w:rPr>
        <w:t xml:space="preserve">Centralized procurement standard </w:t>
      </w:r>
      <w:r>
        <w:rPr>
          <w:rFonts w:hint="eastAsia" w:ascii="黑体" w:hAnsi="黑体" w:eastAsia="黑体" w:cs="黑体"/>
          <w:i w:val="0"/>
          <w:iCs w:val="0"/>
          <w:caps w:val="0"/>
          <w:color w:val="000000" w:themeColor="text1"/>
          <w:spacing w:val="10"/>
          <w:sz w:val="28"/>
          <w:szCs w:val="28"/>
          <w:lang w:val="en-US" w:eastAsia="zh-CN"/>
          <w14:textFill>
            <w14:solidFill>
              <w14:schemeClr w14:val="tx1"/>
            </w14:solidFill>
          </w14:textFill>
        </w:rPr>
        <w:t>for</w:t>
      </w:r>
      <w:r>
        <w:rPr>
          <w:rFonts w:hint="eastAsia" w:ascii="黑体" w:hAnsi="黑体" w:eastAsia="黑体" w:cs="黑体"/>
          <w:i w:val="0"/>
          <w:iCs w:val="0"/>
          <w:caps w:val="0"/>
          <w:color w:val="000000" w:themeColor="text1"/>
          <w:spacing w:val="10"/>
          <w:sz w:val="28"/>
          <w:szCs w:val="28"/>
          <w14:textFill>
            <w14:solidFill>
              <w14:schemeClr w14:val="tx1"/>
            </w14:solidFill>
          </w14:textFill>
        </w:rPr>
        <w:t xml:space="preserve"> genuine regional materia medica</w:t>
      </w:r>
      <w:r>
        <w:rPr>
          <w:rFonts w:hint="eastAsia" w:ascii="黑体" w:hAnsi="黑体" w:eastAsia="黑体" w:cs="黑体"/>
          <w:bCs/>
          <w:sz w:val="28"/>
          <w:szCs w:val="28"/>
        </w:rPr>
        <w:t xml:space="preserve"> </w:t>
      </w:r>
    </w:p>
    <w:p w14:paraId="2AEAA071">
      <w:pPr>
        <w:spacing w:before="157" w:beforeLines="50" w:after="157" w:afterLines="50"/>
        <w:jc w:val="center"/>
        <w:rPr>
          <w:rFonts w:hint="eastAsia" w:ascii="黑体" w:hAnsi="黑体" w:eastAsia="黑体" w:cs="黑体"/>
          <w:bCs/>
          <w:color w:val="000000" w:themeColor="text1"/>
          <w:sz w:val="28"/>
          <w:szCs w:val="28"/>
          <w14:textFill>
            <w14:solidFill>
              <w14:schemeClr w14:val="tx1"/>
            </w14:solidFill>
          </w14:textFill>
        </w:rPr>
      </w:pPr>
      <w:r>
        <w:rPr>
          <w:rFonts w:hint="eastAsia" w:ascii="黑体" w:hAnsi="黑体" w:eastAsia="黑体" w:cs="黑体"/>
          <w:bCs/>
          <w:color w:val="000000" w:themeColor="text1"/>
          <w:sz w:val="28"/>
          <w:szCs w:val="28"/>
          <w14:textFill>
            <w14:solidFill>
              <w14:schemeClr w14:val="tx1"/>
            </w14:solidFill>
          </w14:textFill>
        </w:rPr>
        <w:t>CINNAMOMI CORTEX</w:t>
      </w:r>
    </w:p>
    <w:p w14:paraId="369B1309">
      <w:pPr>
        <w:spacing w:before="312" w:beforeLines="100" w:after="312" w:afterLines="100"/>
        <w:jc w:val="center"/>
        <w:rPr>
          <w:rFonts w:hint="eastAsia" w:ascii="黑体" w:hAnsi="黑体" w:eastAsia="黑体" w:cs="黑体"/>
          <w:bCs/>
          <w:color w:val="000000"/>
          <w:sz w:val="28"/>
          <w:szCs w:val="28"/>
          <w:lang w:eastAsia="zh-CN"/>
        </w:rPr>
      </w:pPr>
      <w:r>
        <w:rPr>
          <w:rFonts w:hint="eastAsia" w:ascii="黑体" w:hAnsi="黑体" w:eastAsia="黑体" w:cs="黑体"/>
          <w:bCs/>
          <w:color w:val="000000"/>
          <w:sz w:val="28"/>
          <w:szCs w:val="28"/>
          <w:lang w:eastAsia="zh-CN"/>
        </w:rPr>
        <w:t>（</w:t>
      </w:r>
      <w:r>
        <w:rPr>
          <w:rFonts w:hint="eastAsia" w:ascii="黑体" w:hAnsi="黑体" w:eastAsia="黑体" w:cs="黑体"/>
          <w:bCs/>
          <w:color w:val="000000"/>
          <w:sz w:val="28"/>
          <w:szCs w:val="28"/>
          <w:lang w:val="en-US" w:eastAsia="zh-CN"/>
        </w:rPr>
        <w:t>征求意见稿</w:t>
      </w:r>
      <w:r>
        <w:rPr>
          <w:rFonts w:hint="eastAsia" w:ascii="黑体" w:hAnsi="黑体" w:eastAsia="黑体" w:cs="黑体"/>
          <w:bCs/>
          <w:color w:val="000000"/>
          <w:sz w:val="28"/>
          <w:szCs w:val="28"/>
          <w:lang w:eastAsia="zh-CN"/>
        </w:rPr>
        <w:t>）</w:t>
      </w:r>
    </w:p>
    <w:p w14:paraId="4FB9DB52">
      <w:pPr>
        <w:spacing w:before="157" w:beforeLines="50" w:after="157" w:afterLines="50"/>
        <w:rPr>
          <w:rFonts w:ascii="宋体" w:hAnsi="宋体"/>
          <w:bCs/>
          <w:color w:val="000000"/>
          <w:sz w:val="36"/>
          <w:szCs w:val="36"/>
        </w:rPr>
      </w:pPr>
      <w:bookmarkStart w:id="38" w:name="_GoBack"/>
      <w:bookmarkEnd w:id="38"/>
    </w:p>
    <w:p w14:paraId="262F036D">
      <w:pPr>
        <w:pStyle w:val="14"/>
        <w:framePr w:wrap="around" w:vAnchor="margin" w:yAlign="top"/>
        <w:spacing w:before="157" w:beforeLines="50" w:after="157" w:afterLines="50"/>
        <w:ind w:left="5250" w:right="280"/>
        <w:rPr>
          <w:color w:val="000000"/>
        </w:rPr>
      </w:pPr>
    </w:p>
    <w:p w14:paraId="0D5157C6">
      <w:pPr>
        <w:spacing w:before="157" w:beforeLines="50" w:after="157" w:afterLines="50"/>
        <w:rPr>
          <w:rFonts w:ascii="宋体" w:hAnsi="宋体"/>
          <w:bCs/>
          <w:color w:val="000000"/>
          <w:sz w:val="36"/>
          <w:szCs w:val="36"/>
        </w:rPr>
      </w:pPr>
      <w:r>
        <w:rPr>
          <w:rFonts w:ascii="宋体" w:hAnsi="宋体"/>
          <w:bCs/>
          <w:color w:val="000000"/>
          <w:sz w:val="36"/>
          <w:szCs w:val="36"/>
        </w:rPr>
        <mc:AlternateContent>
          <mc:Choice Requires="wps">
            <w:drawing>
              <wp:anchor distT="0" distB="0" distL="114300" distR="114300" simplePos="0" relativeHeight="251665408" behindDoc="0" locked="1" layoutInCell="1" allowOverlap="1">
                <wp:simplePos x="0" y="0"/>
                <wp:positionH relativeFrom="margin">
                  <wp:posOffset>23495</wp:posOffset>
                </wp:positionH>
                <wp:positionV relativeFrom="margin">
                  <wp:posOffset>8399145</wp:posOffset>
                </wp:positionV>
                <wp:extent cx="5535930" cy="927735"/>
                <wp:effectExtent l="0" t="0" r="11430" b="1905"/>
                <wp:wrapNone/>
                <wp:docPr id="8" name="fmFrame7" descr="文本框: 中华人民共和国国家质量监督检验检疫总局"/>
                <wp:cNvGraphicFramePr/>
                <a:graphic xmlns:a="http://schemas.openxmlformats.org/drawingml/2006/main">
                  <a:graphicData uri="http://schemas.microsoft.com/office/word/2010/wordprocessingShape">
                    <wps:wsp>
                      <wps:cNvSpPr txBox="1">
                        <a:spLocks noChangeArrowheads="1"/>
                      </wps:cNvSpPr>
                      <wps:spPr bwMode="auto">
                        <a:xfrm>
                          <a:off x="0" y="0"/>
                          <a:ext cx="5535930" cy="927735"/>
                        </a:xfrm>
                        <a:prstGeom prst="rect">
                          <a:avLst/>
                        </a:prstGeom>
                        <a:solidFill>
                          <a:srgbClr val="FFFFFF"/>
                        </a:solidFill>
                        <a:ln>
                          <a:noFill/>
                        </a:ln>
                      </wps:spPr>
                      <wps:txbx>
                        <w:txbxContent>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09FF5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7196" w:type="dxa"/>
                                  <w:tcBorders>
                                    <w:top w:val="nil"/>
                                    <w:left w:val="nil"/>
                                    <w:bottom w:val="nil"/>
                                    <w:right w:val="nil"/>
                                  </w:tcBorders>
                                  <w:vAlign w:val="center"/>
                                </w:tcPr>
                                <w:p w14:paraId="00A24D51">
                                  <w:pPr>
                                    <w:pStyle w:val="21"/>
                                    <w:rPr>
                                      <w:rFonts w:ascii="黑体" w:hAnsi="黑体" w:eastAsia="黑体"/>
                                      <w:b w:val="0"/>
                                      <w:szCs w:val="28"/>
                                    </w:rPr>
                                  </w:pPr>
                                  <w:r>
                                    <w:rPr>
                                      <w:rFonts w:hint="eastAsia" w:ascii="黑体" w:hAnsi="黑体" w:eastAsia="黑体"/>
                                      <w:b w:val="0"/>
                                      <w:szCs w:val="28"/>
                                    </w:rPr>
                                    <w:t>中国乡村发展协会</w:t>
                                  </w:r>
                                </w:p>
                              </w:tc>
                              <w:tc>
                                <w:tcPr>
                                  <w:tcW w:w="1276" w:type="dxa"/>
                                  <w:tcBorders>
                                    <w:top w:val="nil"/>
                                    <w:left w:val="nil"/>
                                    <w:bottom w:val="nil"/>
                                    <w:right w:val="nil"/>
                                  </w:tcBorders>
                                  <w:vAlign w:val="center"/>
                                </w:tcPr>
                                <w:p w14:paraId="6562F846">
                                  <w:pPr>
                                    <w:pStyle w:val="21"/>
                                    <w:jc w:val="left"/>
                                    <w:rPr>
                                      <w:rFonts w:ascii="黑体" w:hAnsi="黑体" w:eastAsia="黑体"/>
                                      <w:b w:val="0"/>
                                      <w:szCs w:val="28"/>
                                    </w:rPr>
                                  </w:pPr>
                                  <w:r>
                                    <w:rPr>
                                      <w:rFonts w:hint="eastAsia" w:ascii="黑体" w:hAnsi="黑体" w:eastAsia="黑体"/>
                                      <w:b w:val="0"/>
                                      <w:szCs w:val="28"/>
                                    </w:rPr>
                                    <w:t>发布</w:t>
                                  </w:r>
                                </w:p>
                              </w:tc>
                            </w:tr>
                          </w:tbl>
                          <w:p w14:paraId="05A7335E">
                            <w:pPr>
                              <w:jc w:val="left"/>
                              <w:rPr>
                                <w:sz w:val="20"/>
                                <w:szCs w:val="20"/>
                              </w:rPr>
                            </w:pPr>
                          </w:p>
                        </w:txbxContent>
                      </wps:txbx>
                      <wps:bodyPr rot="0" vert="horz" wrap="square" lIns="0" tIns="0" rIns="0" bIns="0" anchor="t" anchorCtr="0" upright="1">
                        <a:noAutofit/>
                      </wps:bodyPr>
                    </wps:wsp>
                  </a:graphicData>
                </a:graphic>
              </wp:anchor>
            </w:drawing>
          </mc:Choice>
          <mc:Fallback>
            <w:pict>
              <v:shape id="fmFrame7" o:spid="_x0000_s1026" o:spt="202" alt="文本框: 中华人民共和国国家质量监督检验检疫总局" type="#_x0000_t202" style="position:absolute;left:0pt;margin-left:1.85pt;margin-top:661.35pt;height:73.05pt;width:435.9pt;mso-position-horizontal-relative:margin;mso-position-vertical-relative:margin;z-index:251665408;mso-width-relative:page;mso-height-relative:page;" fillcolor="#FFFFFF" filled="t" stroked="f" coordsize="21600,21600" o:gfxdata="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kMs6Y2gAAAAsBAAAPAAAAAAAAAAEAIAAAACIA&#10;AABkcnMvZG93bnJldi54bWxQSwECFAAUAAAACACHTuJAyoOhZnkCAAB4BAAADgAAAAAAAAABACAA&#10;AAApAQAAZHJzL2Uyb0RvYy54bWxQSwUGAAAAAAYABgBZAQAAFAYAAAAA&#10;">
                <v:fill on="t" focussize="0,0"/>
                <v:stroke on="f"/>
                <v:imagedata o:title=""/>
                <o:lock v:ext="edit" aspectratio="f"/>
                <v:textbox inset="0mm,0mm,0mm,0mm">
                  <w:txbxContent>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6"/>
                        <w:gridCol w:w="1276"/>
                      </w:tblGrid>
                      <w:tr w14:paraId="09FF5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2" w:hRule="atLeast"/>
                        </w:trPr>
                        <w:tc>
                          <w:tcPr>
                            <w:tcW w:w="7196" w:type="dxa"/>
                            <w:tcBorders>
                              <w:top w:val="nil"/>
                              <w:left w:val="nil"/>
                              <w:bottom w:val="nil"/>
                              <w:right w:val="nil"/>
                            </w:tcBorders>
                            <w:vAlign w:val="center"/>
                          </w:tcPr>
                          <w:p w14:paraId="00A24D51">
                            <w:pPr>
                              <w:pStyle w:val="21"/>
                              <w:rPr>
                                <w:rFonts w:ascii="黑体" w:hAnsi="黑体" w:eastAsia="黑体"/>
                                <w:b w:val="0"/>
                                <w:szCs w:val="28"/>
                              </w:rPr>
                            </w:pPr>
                            <w:r>
                              <w:rPr>
                                <w:rFonts w:hint="eastAsia" w:ascii="黑体" w:hAnsi="黑体" w:eastAsia="黑体"/>
                                <w:b w:val="0"/>
                                <w:szCs w:val="28"/>
                              </w:rPr>
                              <w:t>中国乡村发展协会</w:t>
                            </w:r>
                          </w:p>
                        </w:tc>
                        <w:tc>
                          <w:tcPr>
                            <w:tcW w:w="1276" w:type="dxa"/>
                            <w:tcBorders>
                              <w:top w:val="nil"/>
                              <w:left w:val="nil"/>
                              <w:bottom w:val="nil"/>
                              <w:right w:val="nil"/>
                            </w:tcBorders>
                            <w:vAlign w:val="center"/>
                          </w:tcPr>
                          <w:p w14:paraId="6562F846">
                            <w:pPr>
                              <w:pStyle w:val="21"/>
                              <w:jc w:val="left"/>
                              <w:rPr>
                                <w:rFonts w:ascii="黑体" w:hAnsi="黑体" w:eastAsia="黑体"/>
                                <w:b w:val="0"/>
                                <w:szCs w:val="28"/>
                              </w:rPr>
                            </w:pPr>
                            <w:r>
                              <w:rPr>
                                <w:rFonts w:hint="eastAsia" w:ascii="黑体" w:hAnsi="黑体" w:eastAsia="黑体"/>
                                <w:b w:val="0"/>
                                <w:szCs w:val="28"/>
                              </w:rPr>
                              <w:t>发布</w:t>
                            </w:r>
                          </w:p>
                        </w:tc>
                      </w:tr>
                    </w:tbl>
                    <w:p w14:paraId="05A7335E">
                      <w:pPr>
                        <w:jc w:val="left"/>
                        <w:rPr>
                          <w:sz w:val="20"/>
                          <w:szCs w:val="20"/>
                        </w:rPr>
                      </w:pPr>
                    </w:p>
                  </w:txbxContent>
                </v:textbox>
                <w10:anchorlock/>
              </v:shape>
            </w:pict>
          </mc:Fallback>
        </mc:AlternateContent>
      </w:r>
      <w:r>
        <w:rPr>
          <w:rFonts w:ascii="宋体" w:hAnsi="宋体"/>
          <w:bCs/>
          <w:color w:val="000000"/>
          <w:sz w:val="36"/>
          <w:szCs w:val="36"/>
        </w:rPr>
        <mc:AlternateContent>
          <mc:Choice Requires="wps">
            <w:drawing>
              <wp:anchor distT="0" distB="0" distL="114300" distR="114300" simplePos="0" relativeHeight="251667456" behindDoc="0" locked="1" layoutInCell="1" allowOverlap="1">
                <wp:simplePos x="0" y="0"/>
                <wp:positionH relativeFrom="margin">
                  <wp:posOffset>4060190</wp:posOffset>
                </wp:positionH>
                <wp:positionV relativeFrom="margin">
                  <wp:posOffset>8014970</wp:posOffset>
                </wp:positionV>
                <wp:extent cx="2019300" cy="312420"/>
                <wp:effectExtent l="0" t="0" r="7620" b="7620"/>
                <wp:wrapNone/>
                <wp:docPr id="15"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310A0022">
                            <w:pPr>
                              <w:pStyle w:val="15"/>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319.7pt;margin-top:631.1pt;height:24.6pt;width:159pt;mso-position-horizontal-relative:margin;mso-position-vertical-relative:margin;z-index:251667456;mso-width-relative:page;mso-height-relative:page;" fillcolor="#FFFFFF" filled="t" stroked="f" coordsize="21600,21600" o:gfxdata="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Ty1lJNoAAAANAQAADwAAAAAAAAAB&#10;ACAAAAAiAAAAZHJzL2Rvd25yZXYueG1sUEsBAhQAFAAAAAgAh07iQHD/g4IOAgAALAQAAA4AAAAA&#10;AAAAAQAgAAAAKQEAAGRycy9lMm9Eb2MueG1sUEsFBgAAAAAGAAYAWQEAAKkFAAAAAA==&#10;">
                <v:fill on="t" focussize="0,0"/>
                <v:stroke on="f"/>
                <v:imagedata o:title=""/>
                <o:lock v:ext="edit" aspectratio="f"/>
                <v:textbox inset="0mm,0mm,0mm,0mm">
                  <w:txbxContent>
                    <w:p w14:paraId="310A0022">
                      <w:pPr>
                        <w:pStyle w:val="15"/>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××实施</w:t>
                      </w:r>
                    </w:p>
                  </w:txbxContent>
                </v:textbox>
                <w10:anchorlock/>
              </v:shape>
            </w:pict>
          </mc:Fallback>
        </mc:AlternateContent>
      </w:r>
      <w:r>
        <w:rPr>
          <w:rFonts w:ascii="宋体" w:hAnsi="宋体"/>
          <w:bCs/>
          <w:color w:val="000000"/>
          <w:sz w:val="36"/>
          <w:szCs w:val="36"/>
        </w:rPr>
        <mc:AlternateContent>
          <mc:Choice Requires="wps">
            <w:drawing>
              <wp:anchor distT="0" distB="0" distL="114300" distR="114300" simplePos="0" relativeHeight="251664384" behindDoc="0" locked="1" layoutInCell="1" allowOverlap="1">
                <wp:simplePos x="0" y="0"/>
                <wp:positionH relativeFrom="margin">
                  <wp:posOffset>-177800</wp:posOffset>
                </wp:positionH>
                <wp:positionV relativeFrom="margin">
                  <wp:posOffset>8009255</wp:posOffset>
                </wp:positionV>
                <wp:extent cx="2019300" cy="312420"/>
                <wp:effectExtent l="0" t="0" r="7620" b="7620"/>
                <wp:wrapNone/>
                <wp:docPr id="7"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14:paraId="0286CE75">
                            <w:pPr>
                              <w:pStyle w:val="15"/>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14pt;margin-top:630.65pt;height:24.6pt;width:159pt;mso-position-horizontal-relative:margin;mso-position-vertical-relative:margin;z-index:251664384;mso-width-relative:page;mso-height-relative:page;" fillcolor="#FFFFFF" filled="t" stroked="f" coordsize="21600,21600" o:gfxdata="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xnA+xtoAAAANAQAADwAAAAAAAAAB&#10;ACAAAAAiAAAAZHJzL2Rvd25yZXYueG1sUEsBAhQAFAAAAAgAh07iQHBG+tIOAgAAKwQAAA4AAAAA&#10;AAAAAQAgAAAAKQEAAGRycy9lMm9Eb2MueG1sUEsFBgAAAAAGAAYAWQEAAKkFAAAAAA==&#10;">
                <v:fill on="t" focussize="0,0"/>
                <v:stroke on="f"/>
                <v:imagedata o:title=""/>
                <o:lock v:ext="edit" aspectratio="f"/>
                <v:textbox inset="0mm,0mm,0mm,0mm">
                  <w:txbxContent>
                    <w:p w14:paraId="0286CE75">
                      <w:pPr>
                        <w:pStyle w:val="15"/>
                        <w:rPr>
                          <w:rFonts w:ascii="黑体" w:hAnsi="黑体"/>
                        </w:rPr>
                      </w:pPr>
                      <w:r>
                        <w:rPr>
                          <w:rFonts w:hint="eastAsia" w:ascii="黑体" w:hAnsi="黑体" w:cs="黑体"/>
                        </w:rPr>
                        <w:t>20</w:t>
                      </w:r>
                      <w:r>
                        <w:rPr>
                          <w:rFonts w:hint="eastAsia" w:ascii="黑体" w:hAnsi="黑体" w:cs="黑体"/>
                          <w:lang w:val="en-US" w:eastAsia="zh-CN"/>
                        </w:rPr>
                        <w:t>24</w:t>
                      </w:r>
                      <w:r>
                        <w:rPr>
                          <w:rFonts w:ascii="黑体" w:hAnsi="黑体"/>
                        </w:rPr>
                        <w:t>-</w:t>
                      </w:r>
                      <w:r>
                        <w:rPr>
                          <w:rFonts w:hint="eastAsia" w:ascii="黑体" w:hAnsi="黑体" w:cs="黑体"/>
                        </w:rPr>
                        <w:t>××</w:t>
                      </w:r>
                      <w:r>
                        <w:rPr>
                          <w:rFonts w:ascii="黑体" w:hAnsi="黑体"/>
                        </w:rPr>
                        <w:t>-</w:t>
                      </w:r>
                      <w:r>
                        <w:rPr>
                          <w:rFonts w:hint="eastAsia" w:ascii="黑体" w:hAnsi="黑体" w:cs="黑体"/>
                        </w:rPr>
                        <w:t>××发布</w:t>
                      </w:r>
                    </w:p>
                  </w:txbxContent>
                </v:textbox>
                <w10:anchorlock/>
              </v:shape>
            </w:pict>
          </mc:Fallback>
        </mc:AlternateContent>
      </w:r>
    </w:p>
    <w:p w14:paraId="09BF2106">
      <w:pPr>
        <w:tabs>
          <w:tab w:val="left" w:pos="1305"/>
        </w:tabs>
        <w:spacing w:before="157" w:beforeLines="50" w:after="157" w:afterLines="50"/>
        <w:rPr>
          <w:rFonts w:ascii="Times New Roman" w:hAnsi="Times New Roman"/>
          <w:color w:val="000000"/>
          <w:szCs w:val="21"/>
        </w:rPr>
        <w:sectPr>
          <w:headerReference r:id="rId5" w:type="first"/>
          <w:footerReference r:id="rId8" w:type="first"/>
          <w:headerReference r:id="rId3" w:type="default"/>
          <w:footerReference r:id="rId6" w:type="default"/>
          <w:headerReference r:id="rId4" w:type="even"/>
          <w:footerReference r:id="rId7" w:type="even"/>
          <w:pgSz w:w="11906" w:h="16838"/>
          <w:pgMar w:top="1417" w:right="1134" w:bottom="1134" w:left="1417" w:header="850" w:footer="992" w:gutter="0"/>
          <w:pgNumType w:start="1"/>
          <w:cols w:space="0" w:num="1"/>
          <w:titlePg/>
          <w:docGrid w:type="lines" w:linePitch="312" w:charSpace="0"/>
        </w:sectPr>
      </w:pPr>
      <w:r>
        <w:rPr>
          <w:rFonts w:ascii="宋体" w:hAnsi="宋体"/>
          <w:bCs/>
          <w:color w:val="000000"/>
          <w:sz w:val="36"/>
          <w:szCs w:val="36"/>
        </w:rPr>
        <mc:AlternateContent>
          <mc:Choice Requires="wps">
            <w:drawing>
              <wp:anchor distT="0" distB="0" distL="114300" distR="114300" simplePos="0" relativeHeight="251666432" behindDoc="0" locked="0" layoutInCell="1" allowOverlap="1">
                <wp:simplePos x="0" y="0"/>
                <wp:positionH relativeFrom="column">
                  <wp:posOffset>-258445</wp:posOffset>
                </wp:positionH>
                <wp:positionV relativeFrom="paragraph">
                  <wp:posOffset>2746375</wp:posOffset>
                </wp:positionV>
                <wp:extent cx="6120130" cy="0"/>
                <wp:effectExtent l="0" t="4445" r="0" b="5080"/>
                <wp:wrapNone/>
                <wp:docPr id="6" name="AutoShape 14"/>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straightConnector1">
                          <a:avLst/>
                        </a:prstGeom>
                        <a:noFill/>
                        <a:ln w="9525">
                          <a:solidFill>
                            <a:srgbClr val="000000"/>
                          </a:solidFill>
                          <a:round/>
                        </a:ln>
                      </wps:spPr>
                      <wps:bodyPr/>
                    </wps:wsp>
                  </a:graphicData>
                </a:graphic>
              </wp:anchor>
            </w:drawing>
          </mc:Choice>
          <mc:Fallback>
            <w:pict>
              <v:shape id="AutoShape 14" o:spid="_x0000_s1026" o:spt="32" type="#_x0000_t32" style="position:absolute;left:0pt;margin-left:-20.35pt;margin-top:216.25pt;height:0pt;width:481.9pt;z-index:251666432;mso-width-relative:page;mso-height-relative:page;" filled="f" stroked="t" coordsize="21600,21600" o:gfxdata="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toQDH2QAAAAsBAAAPAAAAAAAAAAEA&#10;IAAAACIAAABkcnMvZG93bnJldi54bWxQSwECFAAUAAAACACHTuJABMopCdUBAACzAwAADgAAAAAA&#10;AAABACAAAAAoAQAAZHJzL2Uyb0RvYy54bWxQSwUGAAAAAAYABgBZAQAAbwUAAAAA&#10;">
                <v:fill on="f" focussize="0,0"/>
                <v:stroke color="#000000" joinstyle="round"/>
                <v:imagedata o:title=""/>
                <o:lock v:ext="edit" aspectratio="f"/>
              </v:shape>
            </w:pict>
          </mc:Fallback>
        </mc:AlternateContent>
      </w:r>
    </w:p>
    <w:p w14:paraId="60A676EE">
      <w:pPr>
        <w:pStyle w:val="6"/>
        <w:snapToGrid/>
        <w:spacing w:before="0" w:beforeLines="100" w:after="0" w:afterLines="100"/>
        <w:jc w:val="center"/>
        <w:outlineLvl w:val="0"/>
        <w:rPr>
          <w:rFonts w:ascii="Times New Roman" w:hAnsi="Times New Roman" w:eastAsia="黑体"/>
          <w:bCs/>
          <w:color w:val="000000"/>
          <w:sz w:val="32"/>
          <w:szCs w:val="32"/>
        </w:rPr>
      </w:pPr>
      <w:bookmarkStart w:id="0" w:name="_Toc30137"/>
      <w:bookmarkStart w:id="1" w:name="_Toc7349"/>
      <w:bookmarkStart w:id="2" w:name="_Toc18223"/>
      <w:bookmarkStart w:id="3" w:name="_Toc19640"/>
      <w:bookmarkStart w:id="4" w:name="_Toc26541137"/>
      <w:bookmarkStart w:id="5" w:name="_Toc13472"/>
      <w:bookmarkStart w:id="6" w:name="_Toc11998"/>
      <w:bookmarkStart w:id="7" w:name="_Toc840"/>
      <w:bookmarkStart w:id="8" w:name="_Toc22401"/>
      <w:bookmarkStart w:id="9" w:name="_Toc29175"/>
      <w:bookmarkStart w:id="10" w:name="_Toc21586"/>
      <w:bookmarkStart w:id="11" w:name="_Toc5094"/>
      <w:bookmarkStart w:id="12" w:name="_Toc18100"/>
      <w:bookmarkStart w:id="13" w:name="_Toc13900"/>
      <w:bookmarkStart w:id="14" w:name="_Toc5123"/>
      <w:bookmarkStart w:id="15" w:name="_Toc31551"/>
      <w:bookmarkStart w:id="16" w:name="_Toc26679"/>
      <w:bookmarkStart w:id="17" w:name="_Toc23109710"/>
      <w:bookmarkStart w:id="18" w:name="_Toc32599"/>
      <w:bookmarkStart w:id="19" w:name="_Toc16010"/>
      <w:bookmarkStart w:id="20" w:name="_Toc465701073"/>
      <w:r>
        <w:rPr>
          <w:rFonts w:ascii="Times New Roman" w:hAnsi="Times New Roman" w:eastAsia="黑体"/>
          <w:bCs/>
          <w:color w:val="000000"/>
          <w:sz w:val="32"/>
          <w:szCs w:val="32"/>
        </w:rPr>
        <w:t>前</w:t>
      </w:r>
      <w:r>
        <w:rPr>
          <w:rFonts w:hint="eastAsia" w:ascii="Times New Roman" w:hAnsi="Times New Roman" w:eastAsia="黑体"/>
          <w:bCs/>
          <w:color w:val="000000"/>
          <w:sz w:val="32"/>
          <w:szCs w:val="32"/>
        </w:rPr>
        <w:t xml:space="preserve">  </w:t>
      </w:r>
      <w:r>
        <w:rPr>
          <w:rFonts w:ascii="Times New Roman" w:hAnsi="Times New Roman" w:eastAsia="黑体"/>
          <w:bCs/>
          <w:color w:val="000000"/>
          <w:sz w:val="32"/>
          <w:szCs w:val="32"/>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14:paraId="3057734E">
      <w:pPr>
        <w:keepNext w:val="0"/>
        <w:keepLines w:val="0"/>
        <w:pageBreakBefore w:val="0"/>
        <w:widowControl/>
        <w:tabs>
          <w:tab w:val="center" w:pos="4201"/>
          <w:tab w:val="right" w:leader="dot" w:pos="9298"/>
        </w:tabs>
        <w:kinsoku/>
        <w:wordWrap/>
        <w:overflowPunct/>
        <w:topLinePunct w:val="0"/>
        <w:autoSpaceDE/>
        <w:autoSpaceDN/>
        <w:bidi w:val="0"/>
        <w:adjustRightInd/>
        <w:snapToGrid/>
        <w:spacing w:line="240" w:lineRule="auto"/>
        <w:ind w:firstLine="420" w:firstLineChars="200"/>
        <w:textAlignment w:val="auto"/>
        <w:rPr>
          <w:rFonts w:ascii="宋体" w:hAnsi="宋体"/>
          <w:color w:val="auto"/>
          <w:sz w:val="21"/>
          <w:szCs w:val="21"/>
        </w:rPr>
      </w:pPr>
      <w:r>
        <w:rPr>
          <w:rFonts w:hint="eastAsia" w:ascii="宋体" w:hAnsi="宋体"/>
          <w:color w:val="auto"/>
          <w:sz w:val="21"/>
          <w:szCs w:val="21"/>
        </w:rPr>
        <w:t>本标准按照GB/T 1.1-2009《标准化工作导则 第1部分：标准的结构和编写》给出的规则起草。</w:t>
      </w:r>
    </w:p>
    <w:p w14:paraId="0BB206C2">
      <w:pPr>
        <w:keepNext w:val="0"/>
        <w:keepLines w:val="0"/>
        <w:pageBreakBefore w:val="0"/>
        <w:widowControl/>
        <w:tabs>
          <w:tab w:val="center" w:pos="4201"/>
          <w:tab w:val="right" w:leader="dot" w:pos="9298"/>
        </w:tabs>
        <w:kinsoku/>
        <w:wordWrap/>
        <w:overflowPunct/>
        <w:topLinePunct w:val="0"/>
        <w:autoSpaceDE/>
        <w:autoSpaceDN/>
        <w:bidi w:val="0"/>
        <w:adjustRightInd/>
        <w:snapToGrid/>
        <w:spacing w:line="240" w:lineRule="auto"/>
        <w:ind w:firstLine="420" w:firstLineChars="200"/>
        <w:textAlignment w:val="auto"/>
        <w:rPr>
          <w:rFonts w:ascii="宋体" w:hAnsi="宋体"/>
          <w:color w:val="auto"/>
          <w:sz w:val="21"/>
          <w:szCs w:val="21"/>
        </w:rPr>
      </w:pPr>
      <w:r>
        <w:rPr>
          <w:rFonts w:hint="eastAsia" w:ascii="宋体" w:hAnsi="宋体"/>
          <w:color w:val="auto"/>
          <w:sz w:val="21"/>
          <w:szCs w:val="21"/>
        </w:rPr>
        <w:t>本标准由中国</w:t>
      </w:r>
      <w:r>
        <w:rPr>
          <w:rFonts w:hint="eastAsia" w:ascii="宋体" w:hAnsi="宋体"/>
          <w:color w:val="auto"/>
          <w:sz w:val="21"/>
          <w:szCs w:val="21"/>
          <w:lang w:val="en-US" w:eastAsia="zh-CN"/>
        </w:rPr>
        <w:t>乡村发展协会</w:t>
      </w:r>
      <w:r>
        <w:rPr>
          <w:rFonts w:hint="eastAsia" w:ascii="宋体" w:hAnsi="宋体"/>
          <w:color w:val="auto"/>
          <w:sz w:val="21"/>
          <w:szCs w:val="21"/>
        </w:rPr>
        <w:t>提出并归口。</w:t>
      </w:r>
    </w:p>
    <w:p w14:paraId="2D65C6CB">
      <w:pPr>
        <w:keepNext w:val="0"/>
        <w:keepLines w:val="0"/>
        <w:pageBreakBefore w:val="0"/>
        <w:widowControl/>
        <w:tabs>
          <w:tab w:val="center" w:pos="4201"/>
          <w:tab w:val="right" w:leader="dot" w:pos="9298"/>
        </w:tabs>
        <w:kinsoku/>
        <w:wordWrap/>
        <w:overflowPunct/>
        <w:topLinePunct w:val="0"/>
        <w:autoSpaceDE/>
        <w:autoSpaceDN/>
        <w:bidi w:val="0"/>
        <w:adjustRightInd/>
        <w:snapToGrid/>
        <w:ind w:firstLine="420" w:firstLineChars="200"/>
        <w:textAlignment w:val="auto"/>
        <w:rPr>
          <w:rFonts w:hint="eastAsia" w:ascii="宋体" w:hAnsi="宋体" w:eastAsia="宋体"/>
          <w:color w:val="auto"/>
          <w:sz w:val="21"/>
          <w:szCs w:val="21"/>
          <w:lang w:eastAsia="zh-CN"/>
        </w:rPr>
      </w:pPr>
      <w:r>
        <w:rPr>
          <w:rFonts w:hint="eastAsia" w:ascii="宋体" w:hAnsi="宋体"/>
          <w:color w:val="auto"/>
          <w:sz w:val="21"/>
          <w:szCs w:val="21"/>
        </w:rPr>
        <w:t>本标准起草单位：</w:t>
      </w:r>
      <w:r>
        <w:rPr>
          <w:rFonts w:hint="eastAsia" w:ascii="宋体" w:hAnsi="宋体"/>
          <w:color w:val="auto"/>
          <w:sz w:val="21"/>
          <w:szCs w:val="21"/>
          <w:lang w:val="en-US" w:eastAsia="zh-CN"/>
        </w:rPr>
        <w:t>成都中医药大学、</w:t>
      </w:r>
      <w:r>
        <w:rPr>
          <w:rFonts w:hint="eastAsia" w:ascii="宋体" w:hAnsi="宋体"/>
          <w:color w:val="auto"/>
          <w:sz w:val="21"/>
          <w:szCs w:val="21"/>
        </w:rPr>
        <w:t>中健安检测认证中心有限公司</w:t>
      </w:r>
      <w:r>
        <w:rPr>
          <w:rFonts w:hint="eastAsia" w:ascii="宋体" w:hAnsi="宋体"/>
          <w:color w:val="auto"/>
          <w:sz w:val="21"/>
          <w:szCs w:val="21"/>
          <w:lang w:eastAsia="zh-CN"/>
        </w:rPr>
        <w:t>、广东省中药研究所。</w:t>
      </w:r>
    </w:p>
    <w:p w14:paraId="27925353">
      <w:pPr>
        <w:keepNext w:val="0"/>
        <w:keepLines w:val="0"/>
        <w:pageBreakBefore w:val="0"/>
        <w:widowControl/>
        <w:tabs>
          <w:tab w:val="center" w:pos="4201"/>
          <w:tab w:val="right" w:leader="dot" w:pos="9298"/>
        </w:tabs>
        <w:kinsoku/>
        <w:wordWrap/>
        <w:overflowPunct/>
        <w:topLinePunct w:val="0"/>
        <w:autoSpaceDE/>
        <w:autoSpaceDN/>
        <w:bidi w:val="0"/>
        <w:adjustRightInd/>
        <w:snapToGrid/>
        <w:ind w:firstLine="420" w:firstLineChars="200"/>
        <w:textAlignment w:val="auto"/>
        <w:rPr>
          <w:rFonts w:hint="eastAsia" w:eastAsia="宋体"/>
          <w:lang w:eastAsia="zh-CN"/>
        </w:rPr>
      </w:pPr>
      <w:r>
        <w:rPr>
          <w:rFonts w:hint="eastAsia" w:ascii="宋体" w:hAnsi="宋体"/>
          <w:color w:val="auto"/>
          <w:sz w:val="21"/>
          <w:szCs w:val="21"/>
        </w:rPr>
        <w:t>本标准主要起草人：</w:t>
      </w:r>
      <w:r>
        <w:rPr>
          <w:rFonts w:hint="eastAsia" w:ascii="宋体" w:hAnsi="宋体"/>
          <w:color w:val="auto"/>
          <w:sz w:val="21"/>
          <w:szCs w:val="21"/>
          <w:lang w:eastAsia="zh-CN"/>
        </w:rPr>
        <w:t>曾庆钱、高继海、郑艳、李美恋、陈卫明、郑良豹、李倩文、王琦。</w:t>
      </w:r>
    </w:p>
    <w:p w14:paraId="161F9502">
      <w:pPr>
        <w:widowControl/>
        <w:tabs>
          <w:tab w:val="center" w:pos="4201"/>
          <w:tab w:val="right" w:leader="dot" w:pos="9298"/>
        </w:tabs>
        <w:spacing w:before="157" w:beforeLines="50" w:after="157" w:afterLines="50"/>
        <w:ind w:firstLine="640" w:firstLineChars="200"/>
        <w:rPr>
          <w:rFonts w:ascii="黑体" w:hAnsi="黑体" w:eastAsia="黑体"/>
          <w:bCs/>
          <w:color w:val="000000"/>
          <w:sz w:val="32"/>
          <w:szCs w:val="32"/>
        </w:rPr>
      </w:pPr>
      <w:r>
        <w:rPr>
          <w:rFonts w:ascii="黑体" w:hAnsi="黑体" w:eastAsia="黑体"/>
          <w:bCs/>
          <w:color w:val="000000"/>
          <w:sz w:val="32"/>
          <w:szCs w:val="32"/>
        </w:rPr>
        <w:br w:type="page"/>
      </w:r>
    </w:p>
    <w:p w14:paraId="718709C9">
      <w:pPr>
        <w:pStyle w:val="6"/>
        <w:snapToGrid/>
        <w:spacing w:before="157" w:beforeLines="50" w:after="157" w:afterLines="50"/>
        <w:jc w:val="center"/>
        <w:rPr>
          <w:rFonts w:ascii="黑体" w:hAnsi="黑体" w:eastAsia="黑体"/>
          <w:bCs/>
          <w:color w:val="000000"/>
          <w:sz w:val="32"/>
          <w:szCs w:val="32"/>
        </w:rPr>
      </w:pPr>
    </w:p>
    <w:p w14:paraId="2A1C439A">
      <w:pPr>
        <w:spacing w:before="0" w:beforeLines="100" w:after="0" w:afterLines="100"/>
        <w:jc w:val="center"/>
        <w:rPr>
          <w:rFonts w:ascii="黑体" w:hAnsi="黑体" w:eastAsia="黑体"/>
          <w:bCs/>
          <w:color w:val="000000"/>
          <w:sz w:val="32"/>
          <w:szCs w:val="32"/>
        </w:rPr>
      </w:pPr>
      <w:r>
        <w:rPr>
          <w:rFonts w:hint="eastAsia" w:ascii="黑体" w:hAnsi="黑体" w:eastAsia="黑体"/>
          <w:bCs/>
          <w:color w:val="000000"/>
          <w:sz w:val="32"/>
          <w:szCs w:val="32"/>
          <w:lang w:val="en-US" w:eastAsia="zh-CN"/>
        </w:rPr>
        <w:t>道地</w:t>
      </w:r>
      <w:r>
        <w:rPr>
          <w:rFonts w:hint="eastAsia" w:ascii="黑体" w:hAnsi="黑体" w:eastAsia="黑体"/>
          <w:bCs/>
          <w:color w:val="000000"/>
          <w:sz w:val="32"/>
          <w:szCs w:val="32"/>
        </w:rPr>
        <w:t xml:space="preserve">药材集采交易标准 </w:t>
      </w:r>
      <w:r>
        <w:rPr>
          <w:rFonts w:hint="eastAsia" w:ascii="黑体" w:hAnsi="黑体" w:eastAsia="黑体"/>
          <w:bCs/>
          <w:color w:val="000000"/>
          <w:sz w:val="32"/>
          <w:szCs w:val="32"/>
          <w:lang w:val="en-US" w:eastAsia="zh-CN"/>
        </w:rPr>
        <w:t>广</w:t>
      </w:r>
      <w:r>
        <w:rPr>
          <w:rFonts w:hint="eastAsia" w:ascii="黑体" w:hAnsi="黑体" w:eastAsia="黑体"/>
          <w:bCs/>
          <w:color w:val="000000"/>
          <w:sz w:val="32"/>
          <w:szCs w:val="32"/>
        </w:rPr>
        <w:t>肉桂</w:t>
      </w:r>
    </w:p>
    <w:p w14:paraId="3830901B">
      <w:pPr>
        <w:pStyle w:val="6"/>
        <w:pageBreakBefore w:val="0"/>
        <w:widowControl w:val="0"/>
        <w:kinsoku/>
        <w:wordWrap/>
        <w:overflowPunct/>
        <w:topLinePunct w:val="0"/>
        <w:autoSpaceDE/>
        <w:autoSpaceDN/>
        <w:bidi w:val="0"/>
        <w:adjustRightInd/>
        <w:snapToGrid/>
        <w:spacing w:before="0" w:beforeLines="100" w:after="0" w:afterLines="100"/>
        <w:jc w:val="both"/>
        <w:textAlignment w:val="auto"/>
        <w:rPr>
          <w:rFonts w:ascii="黑体" w:hAnsi="黑体" w:eastAsia="黑体"/>
          <w:bCs/>
          <w:color w:val="000000"/>
          <w:sz w:val="21"/>
          <w:szCs w:val="21"/>
        </w:rPr>
      </w:pPr>
      <w:r>
        <w:rPr>
          <w:rFonts w:hint="eastAsia" w:ascii="黑体" w:hAnsi="黑体" w:eastAsia="黑体"/>
          <w:bCs/>
          <w:color w:val="000000"/>
          <w:sz w:val="21"/>
          <w:szCs w:val="21"/>
        </w:rPr>
        <w:t>1 范围</w:t>
      </w:r>
    </w:p>
    <w:p w14:paraId="3D25E84B">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宋体"/>
          <w:bCs/>
          <w:color w:val="auto"/>
          <w:sz w:val="21"/>
          <w:szCs w:val="21"/>
          <w:lang w:val="en-US" w:eastAsia="zh-CN"/>
        </w:rPr>
      </w:pPr>
      <w:r>
        <w:rPr>
          <w:rFonts w:hint="eastAsia" w:ascii="宋体" w:hAnsi="宋体" w:eastAsia="宋体" w:cs="宋体"/>
          <w:bCs/>
          <w:color w:val="auto"/>
          <w:sz w:val="21"/>
          <w:szCs w:val="21"/>
          <w:lang w:val="en-US" w:eastAsia="zh-CN"/>
        </w:rPr>
        <w:t>本标准规定了</w:t>
      </w:r>
      <w:r>
        <w:rPr>
          <w:rFonts w:hint="eastAsia" w:ascii="宋体" w:hAnsi="宋体" w:cs="宋体"/>
          <w:bCs/>
          <w:color w:val="auto"/>
          <w:sz w:val="21"/>
          <w:szCs w:val="21"/>
          <w:lang w:val="en-US" w:eastAsia="zh-CN"/>
        </w:rPr>
        <w:t>道地</w:t>
      </w:r>
      <w:r>
        <w:rPr>
          <w:rFonts w:hint="eastAsia" w:ascii="宋体" w:hAnsi="宋体" w:eastAsia="宋体" w:cs="宋体"/>
          <w:bCs/>
          <w:color w:val="auto"/>
          <w:sz w:val="21"/>
          <w:szCs w:val="21"/>
          <w:lang w:val="en-US" w:eastAsia="zh-CN"/>
        </w:rPr>
        <w:t>药材</w:t>
      </w:r>
      <w:r>
        <w:rPr>
          <w:rFonts w:hint="eastAsia" w:ascii="宋体" w:hAnsi="宋体" w:cs="宋体"/>
          <w:bCs/>
          <w:color w:val="auto"/>
          <w:sz w:val="21"/>
          <w:szCs w:val="21"/>
          <w:lang w:val="en-US" w:eastAsia="zh-CN"/>
        </w:rPr>
        <w:t>广肉桂</w:t>
      </w:r>
      <w:r>
        <w:rPr>
          <w:rFonts w:hint="eastAsia" w:ascii="宋体" w:hAnsi="宋体" w:eastAsia="宋体" w:cs="宋体"/>
          <w:bCs/>
          <w:color w:val="auto"/>
          <w:sz w:val="21"/>
          <w:szCs w:val="21"/>
          <w:lang w:val="en-US" w:eastAsia="zh-CN"/>
        </w:rPr>
        <w:t>集采的术语和定义、集采要求。</w:t>
      </w:r>
    </w:p>
    <w:p w14:paraId="14191703">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eastAsia="宋体" w:cs="宋体"/>
          <w:bCs/>
          <w:color w:val="auto"/>
          <w:sz w:val="21"/>
          <w:szCs w:val="21"/>
          <w:lang w:val="en-US" w:eastAsia="zh-CN"/>
        </w:rPr>
        <w:t>本标准适用于指导中华人民共和国境内</w:t>
      </w:r>
      <w:r>
        <w:rPr>
          <w:rFonts w:hint="eastAsia" w:ascii="宋体" w:hAnsi="宋体" w:cs="宋体"/>
          <w:bCs/>
          <w:color w:val="auto"/>
          <w:sz w:val="21"/>
          <w:szCs w:val="21"/>
          <w:lang w:val="en-US" w:eastAsia="zh-CN"/>
        </w:rPr>
        <w:t>道地</w:t>
      </w:r>
      <w:r>
        <w:rPr>
          <w:rFonts w:hint="eastAsia" w:ascii="宋体" w:hAnsi="宋体" w:eastAsia="宋体" w:cs="宋体"/>
          <w:bCs/>
          <w:color w:val="auto"/>
          <w:sz w:val="21"/>
          <w:szCs w:val="21"/>
          <w:lang w:val="en-US" w:eastAsia="zh-CN"/>
        </w:rPr>
        <w:t>药材</w:t>
      </w:r>
      <w:r>
        <w:rPr>
          <w:rFonts w:hint="eastAsia" w:ascii="宋体" w:hAnsi="宋体" w:cs="宋体"/>
          <w:bCs/>
          <w:color w:val="auto"/>
          <w:sz w:val="21"/>
          <w:szCs w:val="21"/>
          <w:lang w:val="en-US" w:eastAsia="zh-CN"/>
        </w:rPr>
        <w:t>广肉桂</w:t>
      </w:r>
      <w:r>
        <w:rPr>
          <w:rFonts w:hint="eastAsia" w:ascii="宋体" w:hAnsi="宋体" w:eastAsia="宋体" w:cs="宋体"/>
          <w:bCs/>
          <w:color w:val="auto"/>
          <w:sz w:val="21"/>
          <w:szCs w:val="21"/>
          <w:lang w:val="en-US" w:eastAsia="zh-CN"/>
        </w:rPr>
        <w:t>的集采交易。</w:t>
      </w:r>
    </w:p>
    <w:p w14:paraId="0988C7A2">
      <w:pPr>
        <w:pStyle w:val="6"/>
        <w:pageBreakBefore w:val="0"/>
        <w:widowControl w:val="0"/>
        <w:kinsoku/>
        <w:wordWrap/>
        <w:overflowPunct/>
        <w:topLinePunct w:val="0"/>
        <w:autoSpaceDE/>
        <w:autoSpaceDN/>
        <w:bidi w:val="0"/>
        <w:adjustRightInd/>
        <w:snapToGrid/>
        <w:spacing w:before="0" w:beforeLines="100" w:after="0" w:afterLines="100"/>
        <w:jc w:val="both"/>
        <w:textAlignment w:val="auto"/>
        <w:rPr>
          <w:rFonts w:ascii="黑体" w:hAnsi="黑体" w:eastAsia="黑体"/>
          <w:bCs/>
          <w:color w:val="000000"/>
          <w:sz w:val="21"/>
          <w:szCs w:val="21"/>
        </w:rPr>
      </w:pPr>
      <w:r>
        <w:rPr>
          <w:rFonts w:hint="eastAsia" w:ascii="黑体" w:hAnsi="黑体" w:eastAsia="黑体"/>
          <w:bCs/>
          <w:color w:val="000000"/>
          <w:sz w:val="21"/>
          <w:szCs w:val="21"/>
        </w:rPr>
        <w:t>2 规范性引用文件</w:t>
      </w:r>
    </w:p>
    <w:p w14:paraId="4A6E9D2B">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000000"/>
          <w:sz w:val="21"/>
          <w:szCs w:val="21"/>
        </w:rPr>
        <w:t>下列文件对于本文件的应用是必不可少的。凡是注日期的引用文件，仅注日期的版本适用于本文件。凡是不注日期的引用文件，其最新版本（包括所有的修改单）适用于本文件。</w:t>
      </w:r>
    </w:p>
    <w:p w14:paraId="6850CEB2">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000000"/>
          <w:sz w:val="21"/>
          <w:szCs w:val="21"/>
        </w:rPr>
        <w:t>T/ZGXCFZXH 0001.1-2024《中药材集采交易标准编制通则》</w:t>
      </w:r>
    </w:p>
    <w:p w14:paraId="51F82584">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000000"/>
          <w:sz w:val="21"/>
          <w:szCs w:val="21"/>
        </w:rPr>
        <w:t>T/CACM 1021.1</w:t>
      </w:r>
      <w:r>
        <w:rPr>
          <w:rFonts w:hint="eastAsia" w:ascii="宋体" w:hAnsi="宋体" w:cs="宋体"/>
          <w:bCs/>
          <w:color w:val="000000"/>
          <w:sz w:val="21"/>
          <w:szCs w:val="21"/>
          <w:lang w:val="en-US" w:eastAsia="zh-CN"/>
        </w:rPr>
        <w:t>-</w:t>
      </w:r>
      <w:r>
        <w:rPr>
          <w:rFonts w:hint="eastAsia" w:ascii="宋体" w:hAnsi="宋体" w:cs="宋体"/>
          <w:bCs/>
          <w:color w:val="000000"/>
          <w:sz w:val="21"/>
          <w:szCs w:val="21"/>
        </w:rPr>
        <w:t>2016《中药材商品规格等级</w:t>
      </w:r>
      <w:r>
        <w:rPr>
          <w:rFonts w:hint="eastAsia" w:ascii="宋体" w:hAnsi="宋体" w:cs="宋体"/>
          <w:bCs/>
          <w:color w:val="000000"/>
          <w:sz w:val="21"/>
          <w:szCs w:val="21"/>
          <w:lang w:val="en-US" w:eastAsia="zh-CN"/>
        </w:rPr>
        <w:t>标准</w:t>
      </w:r>
      <w:r>
        <w:rPr>
          <w:rFonts w:hint="eastAsia" w:ascii="宋体" w:hAnsi="宋体" w:cs="宋体"/>
          <w:bCs/>
          <w:color w:val="000000"/>
          <w:sz w:val="21"/>
          <w:szCs w:val="21"/>
        </w:rPr>
        <w:t>编制通则》</w:t>
      </w:r>
    </w:p>
    <w:p w14:paraId="50A9C3DD">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000000"/>
          <w:sz w:val="21"/>
          <w:szCs w:val="21"/>
        </w:rPr>
        <w:t>T/CACM 1021.66</w:t>
      </w:r>
      <w:r>
        <w:rPr>
          <w:rFonts w:hint="eastAsia" w:ascii="宋体" w:hAnsi="宋体" w:cs="宋体"/>
          <w:bCs/>
          <w:color w:val="000000"/>
          <w:sz w:val="21"/>
          <w:szCs w:val="21"/>
          <w:lang w:val="en-US" w:eastAsia="zh-CN"/>
        </w:rPr>
        <w:t>-</w:t>
      </w:r>
      <w:r>
        <w:rPr>
          <w:rFonts w:hint="eastAsia" w:ascii="宋体" w:hAnsi="宋体" w:cs="宋体"/>
          <w:bCs/>
          <w:color w:val="000000"/>
          <w:sz w:val="21"/>
          <w:szCs w:val="21"/>
        </w:rPr>
        <w:t>2018 《中药材商品规格等级 肉桂》</w:t>
      </w:r>
    </w:p>
    <w:p w14:paraId="25A8E866">
      <w:pPr>
        <w:pStyle w:val="2"/>
        <w:pageBreakBefore w:val="0"/>
        <w:widowControl w:val="0"/>
        <w:kinsoku/>
        <w:wordWrap/>
        <w:overflowPunct/>
        <w:topLinePunct w:val="0"/>
        <w:autoSpaceDE/>
        <w:autoSpaceDN/>
        <w:bidi w:val="0"/>
        <w:adjustRightInd/>
        <w:snapToGrid/>
        <w:spacing w:before="0" w:beforeLines="100" w:after="0" w:afterLines="100"/>
        <w:textAlignment w:val="auto"/>
        <w:rPr>
          <w:bCs/>
          <w:color w:val="000000"/>
          <w:sz w:val="21"/>
          <w:szCs w:val="21"/>
        </w:rPr>
      </w:pPr>
      <w:r>
        <w:rPr>
          <w:rFonts w:hint="eastAsia"/>
          <w:bCs/>
          <w:color w:val="000000"/>
          <w:sz w:val="21"/>
          <w:szCs w:val="21"/>
        </w:rPr>
        <w:t>3 术语和定义</w:t>
      </w:r>
    </w:p>
    <w:p w14:paraId="48BB7409">
      <w:pPr>
        <w:pStyle w:val="2"/>
        <w:spacing w:before="157" w:beforeLines="50" w:after="157" w:afterLines="50"/>
        <w:rPr>
          <w:rFonts w:hint="eastAsia"/>
          <w:sz w:val="21"/>
          <w:szCs w:val="21"/>
        </w:rPr>
      </w:pPr>
      <w:r>
        <w:rPr>
          <w:rFonts w:hint="eastAsia"/>
          <w:sz w:val="21"/>
          <w:szCs w:val="21"/>
        </w:rPr>
        <w:t xml:space="preserve">3.1 </w:t>
      </w:r>
    </w:p>
    <w:p w14:paraId="1E27A929">
      <w:pPr>
        <w:pStyle w:val="2"/>
        <w:keepNext/>
        <w:keepLines/>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sz w:val="21"/>
          <w:szCs w:val="21"/>
        </w:rPr>
      </w:pPr>
      <w:r>
        <w:rPr>
          <w:rFonts w:hint="eastAsia"/>
          <w:sz w:val="21"/>
          <w:szCs w:val="21"/>
        </w:rPr>
        <w:t xml:space="preserve">肉桂 </w:t>
      </w:r>
    </w:p>
    <w:p w14:paraId="7119C39A">
      <w:pPr>
        <w:pStyle w:val="2"/>
        <w:pageBreakBefore w:val="0"/>
        <w:widowControl w:val="0"/>
        <w:kinsoku/>
        <w:wordWrap/>
        <w:overflowPunct/>
        <w:topLinePunct w:val="0"/>
        <w:autoSpaceDE/>
        <w:autoSpaceDN/>
        <w:bidi w:val="0"/>
        <w:adjustRightInd/>
        <w:snapToGrid/>
        <w:spacing w:before="0" w:beforeLines="0" w:after="0" w:afterLines="0"/>
        <w:ind w:firstLine="420" w:firstLineChars="200"/>
        <w:textAlignment w:val="auto"/>
        <w:rPr>
          <w:rFonts w:ascii="宋体" w:hAnsi="宋体" w:eastAsia="宋体" w:cs="宋体"/>
          <w:bCs/>
          <w:color w:val="000000"/>
          <w:kern w:val="0"/>
          <w:sz w:val="21"/>
          <w:szCs w:val="21"/>
        </w:rPr>
      </w:pPr>
      <w:r>
        <w:rPr>
          <w:rFonts w:hint="eastAsia" w:ascii="宋体" w:hAnsi="宋体" w:eastAsia="宋体" w:cs="宋体"/>
          <w:bCs/>
          <w:color w:val="000000"/>
          <w:kern w:val="0"/>
          <w:sz w:val="21"/>
          <w:szCs w:val="21"/>
        </w:rPr>
        <w:t>樟科植物肉桂</w:t>
      </w:r>
      <w:r>
        <w:rPr>
          <w:rFonts w:hint="eastAsia" w:ascii="宋体" w:hAnsi="宋体" w:eastAsia="宋体" w:cs="宋体"/>
          <w:bCs/>
          <w:i/>
          <w:iCs/>
          <w:color w:val="000000"/>
          <w:kern w:val="0"/>
          <w:sz w:val="21"/>
          <w:szCs w:val="21"/>
        </w:rPr>
        <w:t>Cinnamomum cassia</w:t>
      </w:r>
      <w:r>
        <w:rPr>
          <w:rFonts w:hint="eastAsia" w:ascii="宋体" w:hAnsi="宋体" w:eastAsia="宋体" w:cs="宋体"/>
          <w:bCs/>
          <w:color w:val="000000"/>
          <w:kern w:val="0"/>
          <w:sz w:val="21"/>
          <w:szCs w:val="21"/>
        </w:rPr>
        <w:t xml:space="preserve"> Presl的干燥树皮。多于秋季剥取，阴干。</w:t>
      </w:r>
    </w:p>
    <w:p w14:paraId="382D492A">
      <w:pPr>
        <w:pStyle w:val="2"/>
        <w:spacing w:before="157" w:beforeLines="50" w:after="157" w:afterLines="50"/>
        <w:rPr>
          <w:rFonts w:hint="eastAsia"/>
          <w:sz w:val="21"/>
          <w:szCs w:val="21"/>
        </w:rPr>
      </w:pPr>
      <w:r>
        <w:rPr>
          <w:rFonts w:hint="eastAsia"/>
          <w:sz w:val="21"/>
          <w:szCs w:val="21"/>
        </w:rPr>
        <w:t xml:space="preserve">3.2 </w:t>
      </w:r>
    </w:p>
    <w:p w14:paraId="18750320">
      <w:pPr>
        <w:pStyle w:val="2"/>
        <w:keepNext/>
        <w:keepLines/>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sz w:val="21"/>
          <w:szCs w:val="21"/>
        </w:rPr>
      </w:pPr>
      <w:r>
        <w:rPr>
          <w:rFonts w:hint="eastAsia"/>
          <w:sz w:val="21"/>
          <w:szCs w:val="21"/>
        </w:rPr>
        <w:t>企边桂 CINNAMOMI CORTEX lignea raised edge</w:t>
      </w:r>
    </w:p>
    <w:p w14:paraId="28955A17">
      <w:pPr>
        <w:pageBreakBefore w:val="0"/>
        <w:widowControl w:val="0"/>
        <w:kinsoku/>
        <w:wordWrap/>
        <w:overflowPunct/>
        <w:topLinePunct w:val="0"/>
        <w:autoSpaceDE/>
        <w:autoSpaceDN/>
        <w:bidi w:val="0"/>
        <w:adjustRightInd/>
        <w:snapToGrid/>
        <w:ind w:firstLine="420" w:firstLineChars="200"/>
        <w:textAlignment w:val="auto"/>
        <w:rPr>
          <w:rFonts w:ascii="宋体" w:hAnsi="宋体" w:cs="宋体"/>
          <w:bCs/>
          <w:color w:val="000000"/>
          <w:kern w:val="0"/>
          <w:sz w:val="21"/>
          <w:szCs w:val="21"/>
        </w:rPr>
      </w:pPr>
      <w:r>
        <w:rPr>
          <w:rFonts w:hint="eastAsia" w:ascii="宋体" w:hAnsi="宋体" w:cs="宋体"/>
          <w:bCs/>
          <w:color w:val="000000"/>
          <w:kern w:val="0"/>
          <w:sz w:val="21"/>
          <w:szCs w:val="21"/>
        </w:rPr>
        <w:t>从肉桂大树主干上环状剥取经加工制成竖向两边向内对称卷起的桂皮。</w:t>
      </w:r>
    </w:p>
    <w:p w14:paraId="6EBB865B">
      <w:pPr>
        <w:pStyle w:val="2"/>
        <w:spacing w:before="157" w:beforeLines="50" w:after="157" w:afterLines="50"/>
        <w:rPr>
          <w:rFonts w:hint="eastAsia"/>
          <w:sz w:val="21"/>
          <w:szCs w:val="21"/>
        </w:rPr>
      </w:pPr>
      <w:r>
        <w:rPr>
          <w:rFonts w:hint="eastAsia"/>
          <w:sz w:val="21"/>
          <w:szCs w:val="21"/>
        </w:rPr>
        <w:t xml:space="preserve">3.3 </w:t>
      </w:r>
    </w:p>
    <w:p w14:paraId="5AB7BEE4">
      <w:pPr>
        <w:pStyle w:val="2"/>
        <w:keepNext/>
        <w:keepLines/>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sz w:val="21"/>
          <w:szCs w:val="21"/>
        </w:rPr>
      </w:pPr>
      <w:r>
        <w:rPr>
          <w:rFonts w:hint="eastAsia"/>
          <w:sz w:val="21"/>
          <w:szCs w:val="21"/>
        </w:rPr>
        <w:t>桂通 CINNAMOMI CORTEX lignea whole</w:t>
      </w:r>
    </w:p>
    <w:p w14:paraId="2114A190">
      <w:pPr>
        <w:pageBreakBefore w:val="0"/>
        <w:widowControl w:val="0"/>
        <w:kinsoku/>
        <w:wordWrap/>
        <w:overflowPunct/>
        <w:topLinePunct w:val="0"/>
        <w:autoSpaceDE/>
        <w:autoSpaceDN/>
        <w:bidi w:val="0"/>
        <w:adjustRightInd/>
        <w:snapToGrid/>
        <w:ind w:firstLine="420" w:firstLineChars="200"/>
        <w:textAlignment w:val="auto"/>
        <w:rPr>
          <w:rFonts w:ascii="宋体" w:hAnsi="宋体" w:cs="宋体"/>
          <w:bCs/>
          <w:color w:val="000000"/>
          <w:kern w:val="0"/>
          <w:sz w:val="21"/>
          <w:szCs w:val="21"/>
        </w:rPr>
      </w:pPr>
      <w:r>
        <w:rPr>
          <w:rFonts w:hint="eastAsia" w:ascii="宋体" w:hAnsi="宋体" w:cs="宋体"/>
          <w:bCs/>
          <w:color w:val="000000"/>
          <w:kern w:val="0"/>
          <w:sz w:val="21"/>
          <w:szCs w:val="21"/>
        </w:rPr>
        <w:t>将剥取的肉桂树皮薄皮制成单筒状或双筒状卷起的桂皮，俗称“桂筒”。</w:t>
      </w:r>
    </w:p>
    <w:p w14:paraId="41A82828">
      <w:pPr>
        <w:pStyle w:val="6"/>
        <w:pageBreakBefore w:val="0"/>
        <w:widowControl w:val="0"/>
        <w:kinsoku/>
        <w:wordWrap/>
        <w:overflowPunct/>
        <w:topLinePunct w:val="0"/>
        <w:autoSpaceDE/>
        <w:autoSpaceDN/>
        <w:bidi w:val="0"/>
        <w:adjustRightInd/>
        <w:snapToGrid/>
        <w:spacing w:before="0" w:beforeLines="100" w:after="0" w:afterLines="100"/>
        <w:jc w:val="both"/>
        <w:textAlignment w:val="auto"/>
        <w:rPr>
          <w:rFonts w:ascii="黑体" w:hAnsi="黑体" w:eastAsia="黑体"/>
          <w:bCs/>
          <w:color w:val="000000"/>
          <w:sz w:val="21"/>
          <w:szCs w:val="21"/>
        </w:rPr>
      </w:pPr>
      <w:r>
        <w:rPr>
          <w:rFonts w:hint="eastAsia" w:ascii="黑体" w:hAnsi="黑体" w:eastAsia="黑体"/>
          <w:bCs/>
          <w:color w:val="000000"/>
          <w:sz w:val="21"/>
          <w:szCs w:val="21"/>
        </w:rPr>
        <w:t>4 集采要求</w:t>
      </w:r>
    </w:p>
    <w:p w14:paraId="0AFFD985">
      <w:pPr>
        <w:pStyle w:val="2"/>
        <w:spacing w:before="157" w:beforeLines="50" w:after="157" w:afterLines="50"/>
        <w:rPr>
          <w:bCs/>
          <w:color w:val="000000"/>
          <w:sz w:val="21"/>
          <w:szCs w:val="21"/>
        </w:rPr>
      </w:pPr>
      <w:r>
        <w:rPr>
          <w:rFonts w:hint="eastAsia"/>
          <w:bCs/>
          <w:color w:val="000000"/>
          <w:sz w:val="21"/>
          <w:szCs w:val="21"/>
        </w:rPr>
        <w:t>4.1来源</w:t>
      </w:r>
    </w:p>
    <w:p w14:paraId="7B4FD2F6">
      <w:pPr>
        <w:pStyle w:val="6"/>
        <w:snapToGrid/>
        <w:spacing w:before="157" w:beforeLines="50" w:after="157" w:afterLines="50"/>
        <w:jc w:val="both"/>
        <w:rPr>
          <w:rFonts w:hint="eastAsia" w:ascii="黑体" w:hAnsi="黑体" w:eastAsia="黑体"/>
          <w:bCs/>
          <w:color w:val="000000"/>
          <w:sz w:val="21"/>
          <w:szCs w:val="21"/>
          <w:lang w:val="en-US" w:eastAsia="zh-CN"/>
        </w:rPr>
      </w:pPr>
      <w:r>
        <w:rPr>
          <w:rFonts w:hint="eastAsia" w:ascii="黑体" w:hAnsi="黑体" w:eastAsia="黑体"/>
          <w:bCs/>
          <w:color w:val="000000"/>
          <w:sz w:val="21"/>
          <w:szCs w:val="21"/>
        </w:rPr>
        <w:t xml:space="preserve">4.1.1 </w:t>
      </w:r>
      <w:r>
        <w:rPr>
          <w:rFonts w:hint="eastAsia" w:ascii="黑体" w:hAnsi="黑体" w:eastAsia="黑体"/>
          <w:bCs/>
          <w:color w:val="000000"/>
          <w:sz w:val="21"/>
          <w:szCs w:val="21"/>
          <w:lang w:val="en-US" w:eastAsia="zh-CN"/>
        </w:rPr>
        <w:t>基原</w:t>
      </w:r>
    </w:p>
    <w:p w14:paraId="637AF7AF">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樟科植物肉桂</w:t>
      </w:r>
      <w:r>
        <w:rPr>
          <w:rFonts w:cs="宋体"/>
          <w:bCs/>
          <w:i/>
          <w:iCs/>
          <w:color w:val="000000"/>
          <w:kern w:val="0"/>
          <w:sz w:val="21"/>
          <w:szCs w:val="21"/>
        </w:rPr>
        <w:t>Cinnamomum cassia</w:t>
      </w:r>
      <w:r>
        <w:rPr>
          <w:rFonts w:cs="宋体"/>
          <w:bCs/>
          <w:color w:val="000000"/>
          <w:kern w:val="0"/>
          <w:sz w:val="21"/>
          <w:szCs w:val="21"/>
        </w:rPr>
        <w:t xml:space="preserve"> Presl。</w:t>
      </w:r>
    </w:p>
    <w:p w14:paraId="5686FCFA">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4.1.2 药用部位</w:t>
      </w:r>
    </w:p>
    <w:p w14:paraId="7377B1D8">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干燥树皮。</w:t>
      </w:r>
    </w:p>
    <w:p w14:paraId="001CA513">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4.1.3 产地</w:t>
      </w:r>
    </w:p>
    <w:p w14:paraId="4127F08F">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sz w:val="21"/>
          <w:szCs w:val="21"/>
        </w:rPr>
      </w:pPr>
      <w:r>
        <w:rPr>
          <w:rFonts w:hint="eastAsia" w:cs="宋体"/>
          <w:bCs/>
          <w:color w:val="000000"/>
          <w:kern w:val="0"/>
          <w:sz w:val="21"/>
          <w:szCs w:val="21"/>
        </w:rPr>
        <w:t>广西壮族自治区的防城、东兴</w:t>
      </w:r>
      <w:r>
        <w:rPr>
          <w:rFonts w:hint="eastAsia" w:cs="宋体"/>
          <w:bCs/>
          <w:color w:val="000000"/>
          <w:kern w:val="0"/>
          <w:sz w:val="21"/>
          <w:szCs w:val="21"/>
          <w:lang w:eastAsia="zh-CN"/>
        </w:rPr>
        <w:t>、</w:t>
      </w:r>
      <w:r>
        <w:rPr>
          <w:rFonts w:hint="eastAsia" w:cs="宋体"/>
          <w:bCs/>
          <w:color w:val="000000"/>
          <w:kern w:val="0"/>
          <w:sz w:val="21"/>
          <w:szCs w:val="21"/>
        </w:rPr>
        <w:t>苍梧、藤县、岑溪、容县、北流等</w:t>
      </w:r>
      <w:r>
        <w:rPr>
          <w:rFonts w:hint="eastAsia" w:cs="宋体"/>
          <w:bCs/>
          <w:color w:val="000000"/>
          <w:kern w:val="0"/>
          <w:sz w:val="21"/>
          <w:szCs w:val="21"/>
          <w:lang w:val="en-US" w:eastAsia="zh-CN"/>
        </w:rPr>
        <w:t>地区</w:t>
      </w:r>
      <w:r>
        <w:rPr>
          <w:rFonts w:hint="eastAsia" w:cs="宋体"/>
          <w:bCs/>
          <w:color w:val="000000"/>
          <w:kern w:val="0"/>
          <w:sz w:val="21"/>
          <w:szCs w:val="21"/>
          <w:lang w:eastAsia="zh-CN"/>
        </w:rPr>
        <w:t>；</w:t>
      </w:r>
      <w:r>
        <w:rPr>
          <w:rFonts w:hint="eastAsia" w:cs="宋体"/>
          <w:bCs/>
          <w:color w:val="000000"/>
          <w:kern w:val="0"/>
          <w:sz w:val="21"/>
          <w:szCs w:val="21"/>
        </w:rPr>
        <w:t>广东省郁南、德庆、罗定、信宜、高要等</w:t>
      </w:r>
      <w:r>
        <w:rPr>
          <w:rFonts w:hint="eastAsia" w:cs="宋体"/>
          <w:bCs/>
          <w:color w:val="000000"/>
          <w:kern w:val="0"/>
          <w:sz w:val="21"/>
          <w:szCs w:val="21"/>
          <w:lang w:val="en-US" w:eastAsia="zh-CN"/>
        </w:rPr>
        <w:t>区域</w:t>
      </w:r>
      <w:r>
        <w:rPr>
          <w:rFonts w:cs="宋体"/>
          <w:bCs/>
          <w:color w:val="000000"/>
          <w:kern w:val="0"/>
          <w:sz w:val="21"/>
          <w:szCs w:val="21"/>
        </w:rPr>
        <w:t>。</w:t>
      </w:r>
    </w:p>
    <w:p w14:paraId="4A8B8AB4">
      <w:pPr>
        <w:pStyle w:val="2"/>
        <w:spacing w:before="157" w:beforeLines="50" w:after="157" w:afterLines="50"/>
        <w:rPr>
          <w:sz w:val="21"/>
          <w:szCs w:val="21"/>
        </w:rPr>
      </w:pPr>
      <w:r>
        <w:rPr>
          <w:rFonts w:hint="eastAsia"/>
          <w:sz w:val="21"/>
          <w:szCs w:val="21"/>
        </w:rPr>
        <w:t>4.1.4 采收期</w:t>
      </w:r>
    </w:p>
    <w:p w14:paraId="3AE3DDD6">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秋季。</w:t>
      </w:r>
    </w:p>
    <w:p w14:paraId="55B5D787">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4.1.5 产地加工</w:t>
      </w:r>
    </w:p>
    <w:p w14:paraId="4E19BA96">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阴干</w:t>
      </w:r>
      <w:r>
        <w:rPr>
          <w:rFonts w:hint="eastAsia" w:cs="宋体"/>
          <w:bCs/>
          <w:color w:val="000000"/>
          <w:kern w:val="0"/>
          <w:sz w:val="21"/>
          <w:szCs w:val="21"/>
        </w:rPr>
        <w:t>。</w:t>
      </w:r>
    </w:p>
    <w:p w14:paraId="6576530A">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 性状</w:t>
      </w:r>
    </w:p>
    <w:p w14:paraId="6799E18F">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4.2.1 形状</w:t>
      </w:r>
    </w:p>
    <w:p w14:paraId="708E6BBB">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呈槽状或卷筒状。</w:t>
      </w:r>
    </w:p>
    <w:p w14:paraId="3C2B8E48">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4.2.2 大小</w:t>
      </w:r>
    </w:p>
    <w:p w14:paraId="63F4CA3E">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kern w:val="2"/>
          <w:sz w:val="21"/>
          <w:szCs w:val="21"/>
        </w:rPr>
      </w:pPr>
      <w:r>
        <w:rPr>
          <w:rFonts w:hint="eastAsia" w:ascii="宋体" w:hAnsi="宋体" w:cs="宋体"/>
          <w:bCs/>
          <w:color w:val="000000"/>
          <w:kern w:val="0"/>
          <w:sz w:val="21"/>
          <w:szCs w:val="21"/>
        </w:rPr>
        <w:t>长30～40</w:t>
      </w:r>
      <w:r>
        <w:rPr>
          <w:rFonts w:hint="eastAsia" w:ascii="宋体" w:hAnsi="宋体" w:cs="宋体"/>
          <w:bCs/>
          <w:color w:val="000000"/>
          <w:kern w:val="0"/>
          <w:sz w:val="21"/>
          <w:szCs w:val="21"/>
          <w:lang w:val="en-US" w:eastAsia="zh-CN"/>
        </w:rPr>
        <w:t xml:space="preserve"> </w:t>
      </w:r>
      <w:r>
        <w:rPr>
          <w:rFonts w:hint="eastAsia" w:ascii="宋体" w:hAnsi="宋体" w:cs="宋体"/>
          <w:bCs/>
          <w:color w:val="000000"/>
          <w:kern w:val="0"/>
          <w:sz w:val="21"/>
          <w:szCs w:val="21"/>
        </w:rPr>
        <w:t>cm，宽或直径3～10</w:t>
      </w:r>
      <w:r>
        <w:rPr>
          <w:rFonts w:hint="eastAsia" w:ascii="宋体" w:hAnsi="宋体" w:cs="宋体"/>
          <w:bCs/>
          <w:color w:val="000000"/>
          <w:kern w:val="0"/>
          <w:sz w:val="21"/>
          <w:szCs w:val="21"/>
          <w:lang w:val="en-US" w:eastAsia="zh-CN"/>
        </w:rPr>
        <w:t xml:space="preserve"> </w:t>
      </w:r>
      <w:r>
        <w:rPr>
          <w:rFonts w:hint="eastAsia" w:ascii="宋体" w:hAnsi="宋体" w:cs="宋体"/>
          <w:bCs/>
          <w:color w:val="000000"/>
          <w:kern w:val="0"/>
          <w:sz w:val="21"/>
          <w:szCs w:val="21"/>
        </w:rPr>
        <w:t>cm，厚0.2～0.8</w:t>
      </w:r>
      <w:r>
        <w:rPr>
          <w:rFonts w:hint="eastAsia" w:ascii="宋体" w:hAnsi="宋体" w:cs="宋体"/>
          <w:bCs/>
          <w:color w:val="000000"/>
          <w:kern w:val="0"/>
          <w:sz w:val="21"/>
          <w:szCs w:val="21"/>
          <w:lang w:val="en-US" w:eastAsia="zh-CN"/>
        </w:rPr>
        <w:t xml:space="preserve"> </w:t>
      </w:r>
      <w:r>
        <w:rPr>
          <w:rFonts w:hint="eastAsia" w:ascii="宋体" w:hAnsi="宋体" w:cs="宋体"/>
          <w:bCs/>
          <w:color w:val="000000"/>
          <w:kern w:val="0"/>
          <w:sz w:val="21"/>
          <w:szCs w:val="21"/>
        </w:rPr>
        <w:t>cm。</w:t>
      </w:r>
    </w:p>
    <w:p w14:paraId="3759006B">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4.2.3 表面</w:t>
      </w:r>
    </w:p>
    <w:p w14:paraId="1A1BBDEE">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外表面灰棕色，稍粗糙，有不规则的细皱纹和横向突起的皮孔，有的可见灰白色的斑纹；内表面红棕色，略平坦，有细纵纹，划之显油痕。</w:t>
      </w:r>
    </w:p>
    <w:p w14:paraId="1D0F749F">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4.2.4 断面</w:t>
      </w:r>
    </w:p>
    <w:p w14:paraId="5E1B0961">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sz w:val="21"/>
          <w:szCs w:val="21"/>
        </w:rPr>
      </w:pPr>
      <w:r>
        <w:rPr>
          <w:rFonts w:cs="宋体"/>
          <w:bCs/>
          <w:color w:val="000000"/>
          <w:kern w:val="0"/>
          <w:sz w:val="21"/>
          <w:szCs w:val="21"/>
        </w:rPr>
        <w:t>断面纤维性，类白色或微红色，内皮层环明显，可见多数维管束小点及棕色油细胞。断面不平坦，外层棕色而较粗糙，内层红棕色而油润，两层间有1条黄棕色的线纹。</w:t>
      </w:r>
    </w:p>
    <w:p w14:paraId="5F199A4E">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4.2.5 质地</w:t>
      </w:r>
    </w:p>
    <w:p w14:paraId="091860F4">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质硬而脆，易折断。</w:t>
      </w:r>
    </w:p>
    <w:p w14:paraId="50C669B3">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4.2.6 气味</w:t>
      </w:r>
    </w:p>
    <w:p w14:paraId="1F8AB6AF">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cs="宋体"/>
          <w:bCs/>
          <w:color w:val="000000"/>
          <w:kern w:val="0"/>
          <w:sz w:val="21"/>
          <w:szCs w:val="21"/>
        </w:rPr>
        <w:t>气香浓烈，味甜、辣。</w:t>
      </w:r>
    </w:p>
    <w:p w14:paraId="44D87041">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4.3 鉴别</w:t>
      </w:r>
    </w:p>
    <w:p w14:paraId="243477CE">
      <w:pPr>
        <w:pStyle w:val="4"/>
        <w:spacing w:before="157" w:beforeLines="50" w:after="157" w:afterLines="50"/>
        <w:ind w:firstLine="0" w:firstLineChars="0"/>
        <w:rPr>
          <w:rFonts w:hint="eastAsia" w:ascii="黑体" w:hAnsi="黑体" w:eastAsia="黑体"/>
          <w:bCs/>
          <w:color w:val="000000"/>
          <w:sz w:val="21"/>
          <w:szCs w:val="21"/>
          <w:lang w:val="en-US" w:eastAsia="zh-CN"/>
        </w:rPr>
      </w:pPr>
      <w:r>
        <w:rPr>
          <w:rFonts w:hint="eastAsia" w:ascii="黑体" w:hAnsi="黑体" w:eastAsia="黑体"/>
          <w:bCs/>
          <w:color w:val="000000"/>
          <w:sz w:val="21"/>
          <w:szCs w:val="21"/>
        </w:rPr>
        <w:t xml:space="preserve">4.3.1 </w:t>
      </w:r>
      <w:r>
        <w:rPr>
          <w:rFonts w:hint="eastAsia" w:ascii="黑体" w:hAnsi="黑体" w:eastAsia="黑体"/>
          <w:bCs/>
          <w:color w:val="000000"/>
          <w:sz w:val="21"/>
          <w:szCs w:val="21"/>
          <w:lang w:val="en-US" w:eastAsia="zh-CN"/>
        </w:rPr>
        <w:t>显微鉴别</w:t>
      </w:r>
    </w:p>
    <w:p w14:paraId="75DFD764">
      <w:pPr>
        <w:pStyle w:val="4"/>
        <w:pageBreakBefore w:val="0"/>
        <w:widowControl w:val="0"/>
        <w:kinsoku/>
        <w:wordWrap/>
        <w:overflowPunct/>
        <w:topLinePunct w:val="0"/>
        <w:autoSpaceDE/>
        <w:autoSpaceDN/>
        <w:bidi w:val="0"/>
        <w:adjustRightInd/>
        <w:snapToGrid/>
        <w:spacing w:before="0" w:beforeLines="0" w:after="0" w:afterLines="0"/>
        <w:ind w:firstLine="0" w:firstLineChars="0"/>
        <w:textAlignment w:val="auto"/>
        <w:rPr>
          <w:rFonts w:hint="eastAsia" w:cs="宋体"/>
          <w:bCs/>
          <w:color w:val="000000"/>
          <w:kern w:val="0"/>
          <w:sz w:val="21"/>
          <w:szCs w:val="21"/>
        </w:rPr>
      </w:pPr>
      <w:r>
        <w:rPr>
          <w:rFonts w:hint="eastAsia" w:ascii="黑体" w:hAnsi="黑体" w:eastAsia="黑体" w:cs="黑体"/>
          <w:bCs/>
          <w:color w:val="000000"/>
          <w:kern w:val="0"/>
          <w:sz w:val="21"/>
          <w:szCs w:val="21"/>
          <w:lang w:val="en-US" w:eastAsia="zh-CN"/>
        </w:rPr>
        <w:t>4.3.1.1</w:t>
      </w:r>
      <w:r>
        <w:rPr>
          <w:rFonts w:cs="宋体"/>
          <w:bCs/>
          <w:color w:val="000000"/>
          <w:kern w:val="0"/>
          <w:sz w:val="21"/>
          <w:szCs w:val="21"/>
        </w:rPr>
        <w:t>本品横切面：木栓细胞数列，最内层细胞外壁增厚，木化。皮层散有石细胞和分泌细胞。中柱鞘部位有石细胞群，断续排列成环，外侧伴有纤维束，石细胞通常外壁较薄。韧皮部射线宽1～2列细胞，含细小草酸钙针晶；纤维常2～3个成束；油细胞随处可见。薄壁细胞含淀粉粒。</w:t>
      </w:r>
    </w:p>
    <w:p w14:paraId="41B5A6F7">
      <w:pPr>
        <w:pStyle w:val="4"/>
        <w:pageBreakBefore w:val="0"/>
        <w:widowControl w:val="0"/>
        <w:kinsoku/>
        <w:wordWrap/>
        <w:overflowPunct/>
        <w:topLinePunct w:val="0"/>
        <w:autoSpaceDE/>
        <w:autoSpaceDN/>
        <w:bidi w:val="0"/>
        <w:adjustRightInd/>
        <w:snapToGrid/>
        <w:spacing w:before="0" w:beforeLines="0" w:after="0" w:afterLines="0"/>
        <w:ind w:firstLine="0" w:firstLineChars="0"/>
        <w:textAlignment w:val="auto"/>
        <w:rPr>
          <w:sz w:val="21"/>
          <w:szCs w:val="21"/>
        </w:rPr>
      </w:pPr>
      <w:r>
        <w:rPr>
          <w:rFonts w:hint="eastAsia" w:ascii="黑体" w:hAnsi="黑体" w:eastAsia="黑体" w:cs="黑体"/>
          <w:bCs/>
          <w:color w:val="000000"/>
          <w:kern w:val="0"/>
          <w:sz w:val="21"/>
          <w:szCs w:val="21"/>
          <w:lang w:val="en-US" w:eastAsia="zh-CN"/>
        </w:rPr>
        <w:t>4.3.1.2</w:t>
      </w:r>
      <w:r>
        <w:rPr>
          <w:rFonts w:cs="宋体"/>
          <w:bCs/>
          <w:color w:val="000000"/>
          <w:kern w:val="0"/>
          <w:sz w:val="21"/>
          <w:szCs w:val="21"/>
        </w:rPr>
        <w:t>粉末红棕色。纤维大多单个散在，长梭形，长195～920μm，直径约至50μm，壁厚，木化，纹孔不明显。石细胞类方形或类圆形，直径32～88μm，壁厚，有的一面菲薄。油细胞类圆形或长圆形，直径45～108μm。草酸钙针晶细小，散在于射线细胞中。木栓细胞多角形，含红棕色物。</w:t>
      </w:r>
    </w:p>
    <w:p w14:paraId="658A0F6B">
      <w:pPr>
        <w:pStyle w:val="4"/>
        <w:spacing w:before="157" w:beforeLines="50" w:after="157" w:afterLines="50"/>
        <w:ind w:firstLine="0" w:firstLineChars="0"/>
        <w:rPr>
          <w:rFonts w:hint="eastAsia" w:ascii="黑体" w:hAnsi="黑体" w:eastAsia="黑体"/>
          <w:bCs/>
          <w:color w:val="000000"/>
          <w:sz w:val="21"/>
          <w:szCs w:val="21"/>
          <w:lang w:val="en-US" w:eastAsia="zh-CN"/>
        </w:rPr>
      </w:pPr>
      <w:r>
        <w:rPr>
          <w:rFonts w:hint="eastAsia" w:ascii="黑体" w:hAnsi="黑体" w:eastAsia="黑体"/>
          <w:bCs/>
          <w:color w:val="000000"/>
          <w:sz w:val="21"/>
          <w:szCs w:val="21"/>
        </w:rPr>
        <w:t xml:space="preserve">4.3.2 </w:t>
      </w:r>
      <w:r>
        <w:rPr>
          <w:rFonts w:hint="eastAsia" w:ascii="黑体" w:hAnsi="黑体" w:eastAsia="黑体"/>
          <w:bCs/>
          <w:color w:val="000000"/>
          <w:sz w:val="21"/>
          <w:szCs w:val="21"/>
          <w:lang w:val="en-US" w:eastAsia="zh-CN"/>
        </w:rPr>
        <w:t>薄层鉴别</w:t>
      </w:r>
    </w:p>
    <w:p w14:paraId="17B23CE2">
      <w:pPr>
        <w:pStyle w:val="4"/>
        <w:pageBreakBefore w:val="0"/>
        <w:widowControl w:val="0"/>
        <w:kinsoku/>
        <w:wordWrap/>
        <w:overflowPunct/>
        <w:topLinePunct w:val="0"/>
        <w:autoSpaceDE/>
        <w:autoSpaceDN/>
        <w:bidi w:val="0"/>
        <w:adjustRightInd/>
        <w:snapToGrid/>
        <w:spacing w:before="0" w:beforeLines="0" w:after="0" w:afterLines="0"/>
        <w:ind w:firstLine="420" w:firstLineChars="200"/>
        <w:textAlignment w:val="auto"/>
        <w:rPr>
          <w:rFonts w:hint="eastAsia" w:cs="宋体"/>
          <w:bCs/>
          <w:color w:val="000000"/>
          <w:kern w:val="0"/>
          <w:sz w:val="21"/>
          <w:szCs w:val="21"/>
        </w:rPr>
      </w:pPr>
      <w:r>
        <w:rPr>
          <w:rFonts w:cs="宋体"/>
          <w:bCs/>
          <w:color w:val="000000"/>
          <w:kern w:val="0"/>
          <w:sz w:val="21"/>
          <w:szCs w:val="21"/>
        </w:rPr>
        <w:t>取本品粉末0.5g，加乙醇10</w:t>
      </w:r>
      <w:r>
        <w:rPr>
          <w:rFonts w:hint="eastAsia" w:cs="宋体"/>
          <w:bCs/>
          <w:color w:val="000000"/>
          <w:kern w:val="0"/>
          <w:sz w:val="21"/>
          <w:szCs w:val="21"/>
          <w:lang w:val="en-US" w:eastAsia="zh-CN"/>
        </w:rPr>
        <w:t xml:space="preserve"> </w:t>
      </w:r>
      <w:r>
        <w:rPr>
          <w:rFonts w:cs="宋体"/>
          <w:bCs/>
          <w:color w:val="000000"/>
          <w:kern w:val="0"/>
          <w:sz w:val="21"/>
          <w:szCs w:val="21"/>
        </w:rPr>
        <w:t>m</w:t>
      </w:r>
      <w:r>
        <w:rPr>
          <w:rFonts w:hint="eastAsia" w:cs="宋体"/>
          <w:bCs/>
          <w:color w:val="000000"/>
          <w:kern w:val="0"/>
          <w:sz w:val="21"/>
          <w:szCs w:val="21"/>
          <w:lang w:val="en-US" w:eastAsia="zh-CN"/>
        </w:rPr>
        <w:t>l</w:t>
      </w:r>
      <w:r>
        <w:rPr>
          <w:rFonts w:cs="宋体"/>
          <w:bCs/>
          <w:color w:val="000000"/>
          <w:kern w:val="0"/>
          <w:sz w:val="21"/>
          <w:szCs w:val="21"/>
        </w:rPr>
        <w:t>，冷浸20分钟，时时振摇，滤过，取滤液作为供试品溶液。另取桂皮醛对照品，加乙醇制成每1</w:t>
      </w:r>
      <w:r>
        <w:rPr>
          <w:rFonts w:hint="eastAsia" w:cs="宋体"/>
          <w:bCs/>
          <w:color w:val="000000"/>
          <w:kern w:val="0"/>
          <w:sz w:val="21"/>
          <w:szCs w:val="21"/>
          <w:lang w:val="en-US" w:eastAsia="zh-CN"/>
        </w:rPr>
        <w:t xml:space="preserve"> </w:t>
      </w:r>
      <w:r>
        <w:rPr>
          <w:rFonts w:cs="宋体"/>
          <w:bCs/>
          <w:color w:val="000000"/>
          <w:kern w:val="0"/>
          <w:sz w:val="21"/>
          <w:szCs w:val="21"/>
        </w:rPr>
        <w:t>m</w:t>
      </w:r>
      <w:r>
        <w:rPr>
          <w:rFonts w:hint="eastAsia" w:cs="宋体"/>
          <w:bCs/>
          <w:color w:val="000000"/>
          <w:kern w:val="0"/>
          <w:sz w:val="21"/>
          <w:szCs w:val="21"/>
          <w:lang w:val="en-US" w:eastAsia="zh-CN"/>
        </w:rPr>
        <w:t>l</w:t>
      </w:r>
      <w:r>
        <w:rPr>
          <w:rFonts w:cs="宋体"/>
          <w:bCs/>
          <w:color w:val="000000"/>
          <w:kern w:val="0"/>
          <w:sz w:val="21"/>
          <w:szCs w:val="21"/>
        </w:rPr>
        <w:t>含1</w:t>
      </w:r>
      <w:r>
        <w:rPr>
          <w:rFonts w:hint="eastAsia" w:cs="宋体"/>
          <w:bCs/>
          <w:color w:val="000000"/>
          <w:kern w:val="0"/>
          <w:sz w:val="21"/>
          <w:szCs w:val="21"/>
          <w:lang w:val="en-US" w:eastAsia="zh-CN"/>
        </w:rPr>
        <w:t xml:space="preserve"> </w:t>
      </w:r>
      <w:r>
        <w:rPr>
          <w:rFonts w:cs="宋体"/>
          <w:bCs/>
          <w:color w:val="000000"/>
          <w:kern w:val="0"/>
          <w:sz w:val="21"/>
          <w:szCs w:val="21"/>
        </w:rPr>
        <w:t>μ</w:t>
      </w:r>
      <w:r>
        <w:rPr>
          <w:rFonts w:hint="eastAsia" w:cs="宋体"/>
          <w:bCs/>
          <w:color w:val="000000"/>
          <w:kern w:val="0"/>
          <w:sz w:val="21"/>
          <w:szCs w:val="21"/>
          <w:lang w:val="en-US" w:eastAsia="zh-CN"/>
        </w:rPr>
        <w:t>l</w:t>
      </w:r>
      <w:r>
        <w:rPr>
          <w:rFonts w:cs="宋体"/>
          <w:bCs/>
          <w:color w:val="000000"/>
          <w:kern w:val="0"/>
          <w:sz w:val="21"/>
          <w:szCs w:val="21"/>
        </w:rPr>
        <w:t>的溶液，作为对照品溶液。照薄层色谱法（</w:t>
      </w:r>
      <w:r>
        <w:rPr>
          <w:rFonts w:hint="eastAsia" w:cs="宋体"/>
          <w:bCs/>
          <w:color w:val="000000"/>
          <w:kern w:val="0"/>
          <w:sz w:val="21"/>
          <w:szCs w:val="21"/>
          <w:lang w:eastAsia="zh-CN"/>
        </w:rPr>
        <w:t>《</w:t>
      </w:r>
      <w:r>
        <w:rPr>
          <w:rFonts w:hint="eastAsia" w:cs="宋体"/>
          <w:bCs/>
          <w:color w:val="000000"/>
          <w:kern w:val="0"/>
          <w:sz w:val="21"/>
          <w:szCs w:val="21"/>
          <w:lang w:val="en-US" w:eastAsia="zh-CN"/>
        </w:rPr>
        <w:t>中华人民共和国药典》2020年版</w:t>
      </w:r>
      <w:r>
        <w:rPr>
          <w:rFonts w:cs="宋体"/>
          <w:bCs/>
          <w:color w:val="000000"/>
          <w:kern w:val="0"/>
          <w:sz w:val="21"/>
          <w:szCs w:val="21"/>
        </w:rPr>
        <w:t>通则0502）试验，吸取供试品溶液2～5</w:t>
      </w:r>
      <w:r>
        <w:rPr>
          <w:rFonts w:hint="eastAsia" w:cs="宋体"/>
          <w:bCs/>
          <w:color w:val="000000"/>
          <w:kern w:val="0"/>
          <w:sz w:val="21"/>
          <w:szCs w:val="21"/>
          <w:lang w:val="en-US" w:eastAsia="zh-CN"/>
        </w:rPr>
        <w:t xml:space="preserve"> </w:t>
      </w:r>
      <w:r>
        <w:rPr>
          <w:rFonts w:cs="宋体"/>
          <w:bCs/>
          <w:color w:val="000000"/>
          <w:kern w:val="0"/>
          <w:sz w:val="21"/>
          <w:szCs w:val="21"/>
        </w:rPr>
        <w:t>μ</w:t>
      </w:r>
      <w:r>
        <w:rPr>
          <w:rFonts w:hint="eastAsia" w:cs="宋体"/>
          <w:bCs/>
          <w:color w:val="000000"/>
          <w:kern w:val="0"/>
          <w:sz w:val="21"/>
          <w:szCs w:val="21"/>
          <w:lang w:val="en-US" w:eastAsia="zh-CN"/>
        </w:rPr>
        <w:t>l</w:t>
      </w:r>
      <w:r>
        <w:rPr>
          <w:rFonts w:cs="宋体"/>
          <w:bCs/>
          <w:color w:val="000000"/>
          <w:kern w:val="0"/>
          <w:sz w:val="21"/>
          <w:szCs w:val="21"/>
        </w:rPr>
        <w:t>、对照品溶液2</w:t>
      </w:r>
      <w:r>
        <w:rPr>
          <w:rFonts w:hint="eastAsia" w:cs="宋体"/>
          <w:bCs/>
          <w:color w:val="000000"/>
          <w:kern w:val="0"/>
          <w:sz w:val="21"/>
          <w:szCs w:val="21"/>
          <w:lang w:val="en-US" w:eastAsia="zh-CN"/>
        </w:rPr>
        <w:t xml:space="preserve"> </w:t>
      </w:r>
      <w:r>
        <w:rPr>
          <w:rFonts w:cs="宋体"/>
          <w:bCs/>
          <w:color w:val="000000"/>
          <w:kern w:val="0"/>
          <w:sz w:val="21"/>
          <w:szCs w:val="21"/>
        </w:rPr>
        <w:t>μ</w:t>
      </w:r>
      <w:r>
        <w:rPr>
          <w:rFonts w:hint="eastAsia" w:cs="宋体"/>
          <w:bCs/>
          <w:color w:val="000000"/>
          <w:kern w:val="0"/>
          <w:sz w:val="21"/>
          <w:szCs w:val="21"/>
          <w:lang w:val="en-US" w:eastAsia="zh-CN"/>
        </w:rPr>
        <w:t>l</w:t>
      </w:r>
      <w:r>
        <w:rPr>
          <w:rFonts w:cs="宋体"/>
          <w:bCs/>
          <w:color w:val="000000"/>
          <w:kern w:val="0"/>
          <w:sz w:val="21"/>
          <w:szCs w:val="21"/>
        </w:rPr>
        <w:t>，分别点于同一硅胶G薄层板上，以石油醚（60～90℃）-乙酸乙酯（17∶3）为展开剂，展开，取出，晾干，喷以二硝基苯肼乙醇试液。供试品色谱中，在与对照品色谱相应的位置上，显相同颜色的斑点。</w:t>
      </w:r>
    </w:p>
    <w:p w14:paraId="747168EF">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4.4检查</w:t>
      </w:r>
    </w:p>
    <w:p w14:paraId="21F984B9">
      <w:pPr>
        <w:pStyle w:val="2"/>
        <w:spacing w:before="157" w:beforeLines="50" w:after="157" w:afterLines="50"/>
        <w:rPr>
          <w:sz w:val="21"/>
          <w:szCs w:val="21"/>
        </w:rPr>
      </w:pPr>
      <w:r>
        <w:rPr>
          <w:rFonts w:hint="eastAsia"/>
          <w:sz w:val="21"/>
          <w:szCs w:val="21"/>
        </w:rPr>
        <w:t>4.4.1 水分</w:t>
      </w:r>
    </w:p>
    <w:p w14:paraId="213F258C">
      <w:pPr>
        <w:pageBreakBefore w:val="0"/>
        <w:widowControl w:val="0"/>
        <w:kinsoku/>
        <w:wordWrap/>
        <w:overflowPunct/>
        <w:topLinePunct w:val="0"/>
        <w:autoSpaceDE/>
        <w:autoSpaceDN/>
        <w:bidi w:val="0"/>
        <w:adjustRightInd/>
        <w:snapToGrid/>
        <w:ind w:firstLine="420" w:firstLineChars="200"/>
        <w:jc w:val="both"/>
        <w:textAlignment w:val="auto"/>
        <w:rPr>
          <w:rFonts w:hint="eastAsia" w:ascii="宋体" w:hAnsi="宋体" w:eastAsia="宋体" w:cs="Times New Roman"/>
          <w:bCs/>
          <w:color w:val="auto"/>
          <w:sz w:val="21"/>
          <w:szCs w:val="21"/>
        </w:rPr>
      </w:pPr>
      <w:r>
        <w:rPr>
          <w:rFonts w:hint="default" w:ascii="宋体" w:hAnsi="宋体" w:eastAsia="宋体" w:cs="Times New Roman"/>
          <w:bCs/>
          <w:color w:val="auto"/>
          <w:sz w:val="21"/>
          <w:szCs w:val="21"/>
          <w:lang w:eastAsia="zh-CN"/>
        </w:rPr>
        <w:t>照</w:t>
      </w:r>
      <w:r>
        <w:rPr>
          <w:rFonts w:hint="default" w:ascii="宋体" w:hAnsi="宋体" w:eastAsia="宋体" w:cs="Times New Roman"/>
          <w:bCs/>
          <w:color w:val="auto"/>
          <w:sz w:val="21"/>
          <w:szCs w:val="21"/>
        </w:rPr>
        <w:t>《中华人民共和国药典》2020版</w:t>
      </w:r>
      <w:r>
        <w:rPr>
          <w:rFonts w:hint="default" w:ascii="宋体" w:hAnsi="宋体" w:eastAsia="宋体" w:cs="Times New Roman"/>
          <w:bCs/>
          <w:color w:val="auto"/>
          <w:sz w:val="21"/>
          <w:szCs w:val="21"/>
          <w:lang w:val="en-US" w:eastAsia="zh-CN"/>
        </w:rPr>
        <w:t>通则0832第</w:t>
      </w:r>
      <w:r>
        <w:rPr>
          <w:rFonts w:hint="eastAsia" w:ascii="宋体" w:hAnsi="宋体" w:eastAsia="宋体" w:cs="Times New Roman"/>
          <w:bCs/>
          <w:color w:val="auto"/>
          <w:sz w:val="21"/>
          <w:szCs w:val="21"/>
          <w:lang w:val="en-US" w:eastAsia="zh-CN"/>
        </w:rPr>
        <w:t>四</w:t>
      </w:r>
      <w:r>
        <w:rPr>
          <w:rFonts w:hint="default" w:ascii="宋体" w:hAnsi="宋体" w:eastAsia="宋体" w:cs="Times New Roman"/>
          <w:bCs/>
          <w:color w:val="auto"/>
          <w:sz w:val="21"/>
          <w:szCs w:val="21"/>
          <w:lang w:val="en-US" w:eastAsia="zh-CN"/>
        </w:rPr>
        <w:t>法</w:t>
      </w:r>
      <w:r>
        <w:rPr>
          <w:rFonts w:hint="eastAsia" w:ascii="宋体" w:hAnsi="宋体" w:eastAsia="宋体" w:cs="Times New Roman"/>
          <w:bCs/>
          <w:color w:val="auto"/>
          <w:sz w:val="21"/>
          <w:szCs w:val="21"/>
          <w:lang w:val="en-US" w:eastAsia="zh-CN"/>
        </w:rPr>
        <w:t>，</w:t>
      </w:r>
      <w:r>
        <w:rPr>
          <w:rFonts w:hint="default" w:ascii="宋体" w:hAnsi="宋体" w:eastAsia="宋体" w:cs="Times New Roman"/>
          <w:bCs/>
          <w:color w:val="auto"/>
          <w:sz w:val="21"/>
          <w:szCs w:val="21"/>
        </w:rPr>
        <w:t>不得过15.0%</w:t>
      </w:r>
      <w:r>
        <w:rPr>
          <w:rFonts w:hint="eastAsia" w:ascii="宋体" w:hAnsi="宋体" w:eastAsia="宋体" w:cs="Times New Roman"/>
          <w:bCs/>
          <w:color w:val="auto"/>
          <w:sz w:val="21"/>
          <w:szCs w:val="21"/>
        </w:rPr>
        <w:t>。</w:t>
      </w:r>
    </w:p>
    <w:p w14:paraId="007BA44F">
      <w:pPr>
        <w:pStyle w:val="2"/>
        <w:spacing w:before="157" w:beforeLines="50" w:after="157" w:afterLines="50"/>
        <w:rPr>
          <w:bCs/>
          <w:sz w:val="21"/>
          <w:szCs w:val="21"/>
        </w:rPr>
      </w:pPr>
      <w:r>
        <w:rPr>
          <w:rFonts w:hint="eastAsia"/>
          <w:bCs/>
          <w:sz w:val="21"/>
          <w:szCs w:val="21"/>
        </w:rPr>
        <w:t>4.4.</w:t>
      </w:r>
      <w:r>
        <w:rPr>
          <w:rFonts w:hint="eastAsia"/>
          <w:bCs/>
          <w:sz w:val="21"/>
          <w:szCs w:val="21"/>
          <w:lang w:val="en-US" w:eastAsia="zh-CN"/>
        </w:rPr>
        <w:t>2</w:t>
      </w:r>
      <w:r>
        <w:rPr>
          <w:rFonts w:hint="eastAsia"/>
          <w:bCs/>
          <w:sz w:val="21"/>
          <w:szCs w:val="21"/>
        </w:rPr>
        <w:t xml:space="preserve"> </w:t>
      </w:r>
      <w:r>
        <w:rPr>
          <w:sz w:val="21"/>
          <w:szCs w:val="21"/>
        </w:rPr>
        <w:t>总</w:t>
      </w:r>
      <w:r>
        <w:rPr>
          <w:rFonts w:hint="eastAsia"/>
          <w:bCs/>
          <w:sz w:val="21"/>
          <w:szCs w:val="21"/>
        </w:rPr>
        <w:t>灰分</w:t>
      </w:r>
    </w:p>
    <w:p w14:paraId="2BB4E467">
      <w:pPr>
        <w:pageBreakBefore w:val="0"/>
        <w:widowControl w:val="0"/>
        <w:kinsoku/>
        <w:wordWrap/>
        <w:overflowPunct/>
        <w:topLinePunct w:val="0"/>
        <w:autoSpaceDE/>
        <w:autoSpaceDN/>
        <w:bidi w:val="0"/>
        <w:adjustRightInd/>
        <w:snapToGrid/>
        <w:ind w:firstLine="420" w:firstLineChars="200"/>
        <w:jc w:val="both"/>
        <w:textAlignment w:val="auto"/>
        <w:rPr>
          <w:rFonts w:hint="eastAsia" w:cs="宋体"/>
          <w:bCs/>
          <w:color w:val="000000"/>
          <w:kern w:val="0"/>
          <w:sz w:val="21"/>
          <w:szCs w:val="21"/>
        </w:rPr>
      </w:pPr>
      <w:r>
        <w:rPr>
          <w:rFonts w:hint="default" w:ascii="宋体" w:hAnsi="宋体" w:cs="Times New Roman"/>
          <w:bCs/>
          <w:color w:val="auto"/>
          <w:sz w:val="21"/>
          <w:szCs w:val="21"/>
          <w:lang w:eastAsia="zh-CN"/>
        </w:rPr>
        <w:t>照</w:t>
      </w:r>
      <w:r>
        <w:rPr>
          <w:rFonts w:hint="default" w:ascii="宋体" w:hAnsi="宋体" w:cs="Times New Roman"/>
          <w:bCs/>
          <w:color w:val="auto"/>
          <w:sz w:val="21"/>
          <w:szCs w:val="21"/>
        </w:rPr>
        <w:t>《中华人民共和国药典》2020版</w:t>
      </w:r>
      <w:r>
        <w:rPr>
          <w:rFonts w:hint="default" w:ascii="宋体" w:hAnsi="宋体" w:eastAsia="宋体" w:cs="Times New Roman"/>
          <w:bCs/>
          <w:color w:val="auto"/>
          <w:sz w:val="21"/>
          <w:szCs w:val="21"/>
          <w:lang w:val="en-US" w:eastAsia="zh-CN"/>
        </w:rPr>
        <w:t>通则2302</w:t>
      </w:r>
      <w:r>
        <w:rPr>
          <w:rFonts w:hint="default" w:ascii="宋体" w:hAnsi="宋体" w:cs="Times New Roman"/>
          <w:bCs/>
          <w:color w:val="auto"/>
          <w:sz w:val="21"/>
          <w:szCs w:val="21"/>
          <w:lang w:val="en-US" w:eastAsia="zh-CN"/>
        </w:rPr>
        <w:t>法测定，</w:t>
      </w:r>
      <w:r>
        <w:rPr>
          <w:rFonts w:hint="eastAsia" w:cs="宋体"/>
          <w:bCs/>
          <w:color w:val="000000"/>
          <w:kern w:val="0"/>
          <w:sz w:val="21"/>
          <w:szCs w:val="21"/>
        </w:rPr>
        <w:t>不得</w:t>
      </w:r>
      <w:r>
        <w:rPr>
          <w:rFonts w:hint="eastAsia" w:ascii="宋体" w:hAnsi="宋体" w:eastAsia="宋体" w:cs="Times New Roman"/>
          <w:bCs/>
          <w:color w:val="auto"/>
          <w:sz w:val="21"/>
          <w:szCs w:val="21"/>
        </w:rPr>
        <w:t>过</w:t>
      </w:r>
      <w:r>
        <w:rPr>
          <w:rFonts w:hint="default" w:ascii="宋体" w:hAnsi="宋体" w:eastAsia="宋体" w:cs="Times New Roman"/>
          <w:bCs/>
          <w:color w:val="auto"/>
          <w:sz w:val="21"/>
          <w:szCs w:val="21"/>
        </w:rPr>
        <w:t>5</w:t>
      </w:r>
      <w:r>
        <w:rPr>
          <w:rFonts w:hint="eastAsia" w:ascii="宋体" w:hAnsi="宋体" w:eastAsia="宋体" w:cs="Times New Roman"/>
          <w:bCs/>
          <w:color w:val="auto"/>
          <w:sz w:val="21"/>
          <w:szCs w:val="21"/>
        </w:rPr>
        <w:t>.0%。</w:t>
      </w:r>
    </w:p>
    <w:p w14:paraId="270EF36B">
      <w:pPr>
        <w:pStyle w:val="2"/>
        <w:spacing w:before="157" w:beforeLines="50" w:after="157" w:afterLines="50"/>
        <w:rPr>
          <w:sz w:val="21"/>
          <w:szCs w:val="21"/>
        </w:rPr>
      </w:pPr>
      <w:r>
        <w:rPr>
          <w:rFonts w:hint="eastAsia"/>
          <w:sz w:val="21"/>
          <w:szCs w:val="21"/>
        </w:rPr>
        <w:t>4.4.</w:t>
      </w:r>
      <w:r>
        <w:rPr>
          <w:rFonts w:hint="eastAsia"/>
          <w:sz w:val="21"/>
          <w:szCs w:val="21"/>
          <w:lang w:val="en-US" w:eastAsia="zh-CN"/>
        </w:rPr>
        <w:t>3</w:t>
      </w:r>
      <w:r>
        <w:rPr>
          <w:rFonts w:hint="eastAsia"/>
          <w:sz w:val="21"/>
          <w:szCs w:val="21"/>
        </w:rPr>
        <w:t xml:space="preserve"> </w:t>
      </w:r>
      <w:r>
        <w:rPr>
          <w:sz w:val="21"/>
          <w:szCs w:val="21"/>
        </w:rPr>
        <w:t>二氧化硫</w:t>
      </w:r>
      <w:r>
        <w:rPr>
          <w:rFonts w:hint="eastAsia"/>
          <w:sz w:val="21"/>
          <w:szCs w:val="21"/>
        </w:rPr>
        <w:t>残留</w:t>
      </w:r>
    </w:p>
    <w:p w14:paraId="565CE45D">
      <w:pPr>
        <w:pStyle w:val="4"/>
        <w:pageBreakBefore w:val="0"/>
        <w:widowControl w:val="0"/>
        <w:kinsoku/>
        <w:wordWrap/>
        <w:overflowPunct/>
        <w:topLinePunct w:val="0"/>
        <w:autoSpaceDE/>
        <w:autoSpaceDN/>
        <w:bidi w:val="0"/>
        <w:adjustRightInd/>
        <w:snapToGrid/>
        <w:spacing w:before="0" w:beforeLines="0" w:after="0" w:afterLines="0"/>
        <w:ind w:firstLine="420"/>
        <w:textAlignment w:val="auto"/>
        <w:rPr>
          <w:rFonts w:hint="eastAsia" w:cs="宋体"/>
          <w:bCs/>
          <w:color w:val="000000"/>
          <w:kern w:val="0"/>
          <w:sz w:val="21"/>
          <w:szCs w:val="21"/>
        </w:rPr>
      </w:pPr>
      <w:r>
        <w:rPr>
          <w:rFonts w:hint="eastAsia" w:cs="宋体"/>
          <w:bCs/>
          <w:color w:val="000000"/>
          <w:kern w:val="0"/>
          <w:sz w:val="21"/>
          <w:szCs w:val="21"/>
        </w:rPr>
        <w:t xml:space="preserve"> </w:t>
      </w:r>
      <w:r>
        <w:rPr>
          <w:rFonts w:hint="default" w:ascii="宋体" w:hAnsi="宋体" w:eastAsia="宋体" w:cs="Times New Roman"/>
          <w:bCs/>
          <w:color w:val="auto"/>
          <w:sz w:val="21"/>
          <w:szCs w:val="21"/>
          <w:lang w:val="en-US" w:eastAsia="zh-CN"/>
        </w:rPr>
        <w:t>照</w:t>
      </w:r>
      <w:r>
        <w:rPr>
          <w:rFonts w:hint="default" w:ascii="宋体" w:hAnsi="宋体" w:cs="Times New Roman"/>
          <w:bCs/>
          <w:color w:val="auto"/>
          <w:sz w:val="21"/>
          <w:szCs w:val="21"/>
        </w:rPr>
        <w:t>《中华人民共和国药典》2020版</w:t>
      </w:r>
      <w:r>
        <w:rPr>
          <w:rFonts w:hint="default" w:ascii="宋体" w:hAnsi="宋体" w:eastAsia="宋体" w:cs="Times New Roman"/>
          <w:bCs/>
          <w:color w:val="auto"/>
          <w:sz w:val="21"/>
          <w:szCs w:val="21"/>
          <w:lang w:val="en-US" w:eastAsia="zh-CN"/>
        </w:rPr>
        <w:t>通则2331二氧化硫残留量测定法测定，</w:t>
      </w:r>
      <w:r>
        <w:rPr>
          <w:rFonts w:hint="eastAsia" w:ascii="宋体" w:hAnsi="宋体" w:cs="宋体"/>
          <w:bCs/>
          <w:color w:val="auto"/>
          <w:sz w:val="21"/>
          <w:szCs w:val="21"/>
        </w:rPr>
        <w:t>不得过150mg/kg。</w:t>
      </w:r>
    </w:p>
    <w:p w14:paraId="109E88AB">
      <w:pPr>
        <w:pStyle w:val="6"/>
        <w:snapToGrid/>
        <w:spacing w:before="120" w:beforeLines="50" w:after="120" w:afterLines="50"/>
        <w:jc w:val="both"/>
        <w:rPr>
          <w:rFonts w:hint="default" w:ascii="黑体" w:hAnsi="黑体" w:eastAsia="黑体"/>
          <w:bCs/>
          <w:color w:val="auto"/>
          <w:sz w:val="21"/>
          <w:szCs w:val="21"/>
          <w:lang w:val="en-US" w:eastAsia="zh-CN"/>
        </w:rPr>
      </w:pPr>
      <w:bookmarkStart w:id="21" w:name="_Toc21136"/>
      <w:r>
        <w:rPr>
          <w:rFonts w:hint="eastAsia" w:ascii="黑体" w:hAnsi="黑体" w:eastAsia="黑体"/>
          <w:bCs/>
          <w:color w:val="auto"/>
          <w:sz w:val="21"/>
          <w:szCs w:val="21"/>
          <w:lang w:val="en-US" w:eastAsia="zh-CN"/>
        </w:rPr>
        <w:t>4.4.4 重金属</w:t>
      </w:r>
      <w:bookmarkEnd w:id="21"/>
      <w:r>
        <w:rPr>
          <w:rFonts w:hint="eastAsia" w:ascii="黑体" w:hAnsi="黑体" w:eastAsia="黑体"/>
          <w:bCs/>
          <w:color w:val="auto"/>
          <w:sz w:val="21"/>
          <w:szCs w:val="21"/>
          <w:lang w:val="en-US" w:eastAsia="zh-CN"/>
        </w:rPr>
        <w:t>残留</w:t>
      </w:r>
    </w:p>
    <w:p w14:paraId="77CB8B51">
      <w:pPr>
        <w:pStyle w:val="6"/>
        <w:keepNext w:val="0"/>
        <w:keepLines w:val="0"/>
        <w:pageBreakBefore w:val="0"/>
        <w:widowControl w:val="0"/>
        <w:kinsoku/>
        <w:wordWrap/>
        <w:overflowPunct/>
        <w:topLinePunct w:val="0"/>
        <w:autoSpaceDE/>
        <w:autoSpaceDN/>
        <w:bidi w:val="0"/>
        <w:adjustRightInd/>
        <w:snapToGrid/>
        <w:ind w:firstLine="420" w:firstLineChars="200"/>
        <w:jc w:val="both"/>
        <w:textAlignment w:val="auto"/>
        <w:rPr>
          <w:rFonts w:hint="default" w:ascii="宋体" w:hAnsi="宋体" w:cs="Times New Roman"/>
          <w:bCs/>
          <w:color w:val="auto"/>
          <w:sz w:val="21"/>
          <w:szCs w:val="21"/>
          <w:lang w:val="en-US" w:eastAsia="zh-CN"/>
        </w:rPr>
      </w:pPr>
      <w:r>
        <w:rPr>
          <w:rFonts w:hint="default" w:ascii="宋体" w:hAnsi="宋体" w:cs="Times New Roman"/>
          <w:bCs/>
          <w:color w:val="auto"/>
          <w:sz w:val="21"/>
          <w:szCs w:val="21"/>
          <w:lang w:val="en-US" w:eastAsia="zh-CN"/>
        </w:rPr>
        <w:t>照</w:t>
      </w:r>
      <w:r>
        <w:rPr>
          <w:rFonts w:hint="default" w:ascii="宋体" w:hAnsi="宋体" w:cs="Times New Roman" w:eastAsiaTheme="minorEastAsia"/>
          <w:bCs/>
          <w:color w:val="auto"/>
          <w:kern w:val="0"/>
          <w:sz w:val="21"/>
          <w:szCs w:val="21"/>
          <w:highlight w:val="none"/>
          <w:lang w:val="en-US" w:eastAsia="zh-CN" w:bidi="ar-SA"/>
        </w:rPr>
        <w:t>《中华人民共和国药典》</w:t>
      </w:r>
      <w:r>
        <w:rPr>
          <w:rFonts w:hint="default" w:ascii="宋体" w:hAnsi="宋体" w:cs="Times New Roman"/>
          <w:bCs/>
          <w:color w:val="auto"/>
          <w:sz w:val="21"/>
          <w:szCs w:val="21"/>
        </w:rPr>
        <w:t>2020版</w:t>
      </w:r>
      <w:r>
        <w:rPr>
          <w:rFonts w:hint="default" w:ascii="宋体" w:hAnsi="宋体" w:cs="Times New Roman"/>
          <w:bCs/>
          <w:color w:val="auto"/>
          <w:sz w:val="21"/>
          <w:szCs w:val="21"/>
          <w:lang w:val="en-US" w:eastAsia="zh-CN"/>
        </w:rPr>
        <w:t>通则2321原子吸收分光光度法或电感耦合等离子体质谱法测定，铅不得过5mg/kg；镉不得过1mg/kg；砷不得过2mg/kg；汞不得过0.2mg/kg；铜不得过20mg/kg。</w:t>
      </w:r>
    </w:p>
    <w:p w14:paraId="6AD6D94A">
      <w:pPr>
        <w:pStyle w:val="6"/>
        <w:snapToGrid/>
        <w:spacing w:before="120" w:beforeLines="50" w:after="120" w:afterLines="50"/>
        <w:jc w:val="both"/>
        <w:rPr>
          <w:rFonts w:hint="eastAsia" w:ascii="黑体" w:hAnsi="黑体" w:eastAsia="黑体"/>
          <w:bCs/>
          <w:color w:val="auto"/>
          <w:sz w:val="21"/>
          <w:szCs w:val="21"/>
          <w:lang w:val="en-US" w:eastAsia="zh-CN"/>
        </w:rPr>
      </w:pPr>
      <w:bookmarkStart w:id="22" w:name="_Toc10374"/>
      <w:r>
        <w:rPr>
          <w:rFonts w:hint="eastAsia" w:ascii="黑体" w:hAnsi="黑体" w:eastAsia="黑体"/>
          <w:bCs/>
          <w:color w:val="auto"/>
          <w:sz w:val="21"/>
          <w:szCs w:val="21"/>
          <w:lang w:val="en-US" w:eastAsia="zh-CN"/>
        </w:rPr>
        <w:t>4.4.5 农药残留</w:t>
      </w:r>
      <w:bookmarkEnd w:id="22"/>
    </w:p>
    <w:p w14:paraId="5185B237">
      <w:pPr>
        <w:pStyle w:val="6"/>
        <w:pageBreakBefore w:val="0"/>
        <w:widowControl w:val="0"/>
        <w:kinsoku/>
        <w:wordWrap/>
        <w:overflowPunct/>
        <w:topLinePunct w:val="0"/>
        <w:autoSpaceDE/>
        <w:autoSpaceDN/>
        <w:bidi w:val="0"/>
        <w:adjustRightInd/>
        <w:snapToGrid/>
        <w:ind w:firstLine="420" w:firstLineChars="200"/>
        <w:jc w:val="both"/>
        <w:textAlignment w:val="auto"/>
        <w:rPr>
          <w:rFonts w:hint="default" w:ascii="宋体" w:hAnsi="宋体" w:eastAsia="宋体" w:cs="Times New Roman"/>
          <w:bCs/>
          <w:color w:val="auto"/>
          <w:sz w:val="21"/>
          <w:szCs w:val="21"/>
          <w:lang w:val="en-US" w:eastAsia="zh-CN"/>
        </w:rPr>
      </w:pPr>
      <w:r>
        <w:rPr>
          <w:rFonts w:hint="default" w:ascii="宋体" w:hAnsi="宋体" w:cs="Times New Roman"/>
          <w:bCs/>
          <w:color w:val="auto"/>
          <w:sz w:val="21"/>
          <w:szCs w:val="21"/>
          <w:lang w:val="en-US" w:eastAsia="zh-CN"/>
        </w:rPr>
        <w:t>照《中华人民共和国药典》2020年版通则0212</w:t>
      </w:r>
      <w:r>
        <w:rPr>
          <w:rFonts w:hint="eastAsia" w:ascii="宋体" w:hAnsi="宋体" w:cs="Times New Roman"/>
          <w:bCs/>
          <w:color w:val="auto"/>
          <w:sz w:val="21"/>
          <w:szCs w:val="21"/>
          <w:lang w:val="en-US" w:eastAsia="zh-CN"/>
        </w:rPr>
        <w:t>中列出的禁用</w:t>
      </w:r>
      <w:r>
        <w:rPr>
          <w:rFonts w:hint="default" w:ascii="宋体" w:hAnsi="宋体" w:cs="Times New Roman"/>
          <w:bCs/>
          <w:color w:val="auto"/>
          <w:sz w:val="21"/>
          <w:szCs w:val="21"/>
          <w:lang w:val="en-US" w:eastAsia="zh-CN"/>
        </w:rPr>
        <w:t>农药残留不得检出</w:t>
      </w:r>
      <w:r>
        <w:rPr>
          <w:rFonts w:hint="eastAsia" w:ascii="宋体" w:hAnsi="宋体" w:cs="Times New Roman"/>
          <w:bCs/>
          <w:color w:val="auto"/>
          <w:sz w:val="21"/>
          <w:szCs w:val="21"/>
          <w:lang w:val="en-US" w:eastAsia="zh-CN"/>
        </w:rPr>
        <w:t>。</w:t>
      </w:r>
    </w:p>
    <w:p w14:paraId="6D9DE917">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4.5 含量</w:t>
      </w:r>
    </w:p>
    <w:p w14:paraId="5F596345">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Times New Roman"/>
          <w:bCs/>
          <w:color w:val="auto"/>
          <w:sz w:val="21"/>
          <w:szCs w:val="21"/>
          <w:lang w:val="en-US" w:eastAsia="zh-CN"/>
        </w:rPr>
        <w:t>照</w:t>
      </w:r>
      <w:r>
        <w:rPr>
          <w:rFonts w:hint="default" w:ascii="宋体" w:hAnsi="宋体" w:cs="Times New Roman"/>
          <w:bCs/>
          <w:color w:val="auto"/>
          <w:sz w:val="21"/>
          <w:szCs w:val="21"/>
          <w:lang w:val="en-US" w:eastAsia="zh-CN"/>
        </w:rPr>
        <w:t>《中华人民共和国药典》2020年版通则0</w:t>
      </w:r>
      <w:r>
        <w:rPr>
          <w:rFonts w:hint="eastAsia" w:ascii="宋体" w:hAnsi="宋体" w:cs="Times New Roman"/>
          <w:bCs/>
          <w:color w:val="auto"/>
          <w:sz w:val="21"/>
          <w:szCs w:val="21"/>
          <w:lang w:val="en-US" w:eastAsia="zh-CN"/>
        </w:rPr>
        <w:t>5</w:t>
      </w:r>
      <w:r>
        <w:rPr>
          <w:rFonts w:hint="default" w:ascii="宋体" w:hAnsi="宋体" w:cs="Times New Roman"/>
          <w:bCs/>
          <w:color w:val="auto"/>
          <w:sz w:val="21"/>
          <w:szCs w:val="21"/>
          <w:lang w:val="en-US" w:eastAsia="zh-CN"/>
        </w:rPr>
        <w:t>12</w:t>
      </w:r>
      <w:r>
        <w:rPr>
          <w:rFonts w:hint="eastAsia" w:ascii="宋体" w:hAnsi="宋体" w:cs="Times New Roman"/>
          <w:bCs/>
          <w:color w:val="auto"/>
          <w:sz w:val="21"/>
          <w:szCs w:val="21"/>
          <w:lang w:val="en-US" w:eastAsia="zh-CN"/>
        </w:rPr>
        <w:t>高效液相色谱法测定，</w:t>
      </w:r>
      <w:r>
        <w:rPr>
          <w:rFonts w:hint="eastAsia" w:ascii="宋体" w:hAnsi="宋体" w:cs="宋体"/>
          <w:bCs/>
          <w:color w:val="000000"/>
          <w:sz w:val="21"/>
          <w:szCs w:val="21"/>
        </w:rPr>
        <w:t>本品按干燥品计算，含桂皮醛</w:t>
      </w:r>
      <w:r>
        <w:rPr>
          <w:rFonts w:hint="eastAsia" w:ascii="宋体" w:hAnsi="宋体" w:cs="Times New Roman"/>
          <w:bCs/>
          <w:color w:val="auto"/>
          <w:sz w:val="21"/>
          <w:szCs w:val="21"/>
          <w:lang w:val="en-US" w:eastAsia="zh-CN"/>
        </w:rPr>
        <w:t>（C</w:t>
      </w:r>
      <w:r>
        <w:rPr>
          <w:rFonts w:hint="eastAsia" w:ascii="宋体" w:hAnsi="宋体" w:cs="Times New Roman"/>
          <w:bCs/>
          <w:color w:val="auto"/>
          <w:sz w:val="21"/>
          <w:szCs w:val="21"/>
          <w:vertAlign w:val="subscript"/>
          <w:lang w:val="en-US" w:eastAsia="zh-CN"/>
        </w:rPr>
        <w:t>9</w:t>
      </w:r>
      <w:r>
        <w:rPr>
          <w:rFonts w:hint="eastAsia" w:ascii="宋体" w:hAnsi="宋体" w:cs="Times New Roman"/>
          <w:bCs/>
          <w:color w:val="auto"/>
          <w:sz w:val="21"/>
          <w:szCs w:val="21"/>
          <w:lang w:val="en-US" w:eastAsia="zh-CN"/>
        </w:rPr>
        <w:t>H</w:t>
      </w:r>
      <w:r>
        <w:rPr>
          <w:rFonts w:hint="eastAsia" w:ascii="宋体" w:hAnsi="宋体" w:cs="Times New Roman"/>
          <w:bCs/>
          <w:color w:val="auto"/>
          <w:sz w:val="21"/>
          <w:szCs w:val="21"/>
          <w:vertAlign w:val="subscript"/>
          <w:lang w:val="en-US" w:eastAsia="zh-CN"/>
        </w:rPr>
        <w:t>8</w:t>
      </w:r>
      <w:r>
        <w:rPr>
          <w:rFonts w:hint="eastAsia" w:ascii="宋体" w:hAnsi="宋体" w:cs="Times New Roman"/>
          <w:bCs/>
          <w:color w:val="auto"/>
          <w:sz w:val="21"/>
          <w:szCs w:val="21"/>
          <w:lang w:val="en-US" w:eastAsia="zh-CN"/>
        </w:rPr>
        <w:t>O）不得少于1.5%。本品</w:t>
      </w:r>
      <w:r>
        <w:rPr>
          <w:rFonts w:hint="eastAsia" w:ascii="宋体" w:hAnsi="宋体" w:cs="宋体"/>
          <w:bCs/>
          <w:color w:val="000000"/>
          <w:sz w:val="21"/>
          <w:szCs w:val="21"/>
        </w:rPr>
        <w:t>含挥发油不得少于1.2%（m</w:t>
      </w:r>
      <w:r>
        <w:rPr>
          <w:rFonts w:hint="eastAsia" w:ascii="宋体" w:hAnsi="宋体" w:cs="宋体"/>
          <w:bCs/>
          <w:color w:val="000000"/>
          <w:sz w:val="21"/>
          <w:szCs w:val="21"/>
          <w:lang w:val="en-US" w:eastAsia="zh-CN"/>
        </w:rPr>
        <w:t>L</w:t>
      </w:r>
      <w:r>
        <w:rPr>
          <w:rFonts w:hint="eastAsia" w:ascii="宋体" w:hAnsi="宋体" w:cs="宋体"/>
          <w:bCs/>
          <w:color w:val="000000"/>
          <w:sz w:val="21"/>
          <w:szCs w:val="21"/>
        </w:rPr>
        <w:t>/g）。</w:t>
      </w:r>
    </w:p>
    <w:p w14:paraId="3324ECEE">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4.6 质量控制</w:t>
      </w:r>
    </w:p>
    <w:p w14:paraId="1CB66D92">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4.6.1 可追溯</w:t>
      </w:r>
    </w:p>
    <w:p w14:paraId="4E7C5A06">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auto"/>
          <w:sz w:val="21"/>
          <w:szCs w:val="21"/>
        </w:rPr>
        <w:t>集采交易药材</w:t>
      </w:r>
      <w:r>
        <w:rPr>
          <w:rFonts w:hint="eastAsia" w:ascii="宋体" w:hAnsi="宋体" w:cs="宋体"/>
          <w:bCs/>
          <w:color w:val="auto"/>
          <w:sz w:val="21"/>
          <w:szCs w:val="21"/>
          <w:lang w:eastAsia="zh-CN"/>
        </w:rPr>
        <w:t>广</w:t>
      </w:r>
      <w:r>
        <w:rPr>
          <w:rFonts w:hint="eastAsia" w:ascii="宋体" w:hAnsi="宋体" w:cs="宋体"/>
          <w:bCs/>
          <w:color w:val="auto"/>
          <w:sz w:val="21"/>
          <w:szCs w:val="21"/>
          <w:lang w:val="en-US" w:eastAsia="zh-CN"/>
        </w:rPr>
        <w:t>肉桂</w:t>
      </w:r>
      <w:r>
        <w:rPr>
          <w:rFonts w:hint="eastAsia" w:ascii="宋体" w:hAnsi="宋体" w:cs="宋体"/>
          <w:bCs/>
          <w:color w:val="auto"/>
          <w:sz w:val="21"/>
          <w:szCs w:val="21"/>
        </w:rPr>
        <w:t>应实现中药材生产全过程可追溯，并通过第三方溯源评价。</w:t>
      </w:r>
    </w:p>
    <w:p w14:paraId="2D008366">
      <w:pPr>
        <w:pStyle w:val="6"/>
        <w:snapToGrid/>
        <w:spacing w:before="120" w:beforeLines="50" w:after="120" w:afterLines="50"/>
        <w:jc w:val="both"/>
        <w:rPr>
          <w:rFonts w:ascii="黑体" w:hAnsi="黑体" w:eastAsia="黑体"/>
          <w:bCs/>
          <w:color w:val="auto"/>
          <w:sz w:val="21"/>
          <w:szCs w:val="21"/>
        </w:rPr>
      </w:pPr>
      <w:r>
        <w:rPr>
          <w:rFonts w:hint="eastAsia" w:ascii="黑体" w:hAnsi="黑体" w:eastAsia="黑体"/>
          <w:bCs/>
          <w:color w:val="000000"/>
          <w:sz w:val="21"/>
          <w:szCs w:val="21"/>
        </w:rPr>
        <w:t xml:space="preserve">4.6.2 </w:t>
      </w:r>
      <w:r>
        <w:rPr>
          <w:rFonts w:hint="eastAsia" w:ascii="宋体" w:hAnsi="宋体" w:eastAsia="黑体"/>
          <w:bCs/>
          <w:color w:val="auto"/>
          <w:sz w:val="21"/>
          <w:szCs w:val="21"/>
          <w:lang w:val="en-US" w:eastAsia="zh-CN"/>
        </w:rPr>
        <w:t>药材生产管理规范</w:t>
      </w:r>
    </w:p>
    <w:p w14:paraId="1E5AA0E8">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auto"/>
          <w:sz w:val="21"/>
          <w:szCs w:val="21"/>
        </w:rPr>
        <w:t>精品药材</w:t>
      </w:r>
      <w:r>
        <w:rPr>
          <w:rFonts w:hint="eastAsia" w:ascii="宋体" w:hAnsi="宋体" w:cs="宋体"/>
          <w:bCs/>
          <w:color w:val="auto"/>
          <w:sz w:val="21"/>
          <w:szCs w:val="21"/>
          <w:lang w:eastAsia="zh-CN"/>
        </w:rPr>
        <w:t>广</w:t>
      </w:r>
      <w:r>
        <w:rPr>
          <w:rFonts w:hint="eastAsia" w:ascii="宋体" w:hAnsi="宋体" w:cs="宋体"/>
          <w:bCs/>
          <w:color w:val="auto"/>
          <w:sz w:val="21"/>
          <w:szCs w:val="21"/>
          <w:lang w:val="en-US" w:eastAsia="zh-CN"/>
        </w:rPr>
        <w:t>肉桂</w:t>
      </w:r>
      <w:r>
        <w:rPr>
          <w:rFonts w:hint="eastAsia" w:ascii="宋体" w:hAnsi="宋体" w:eastAsia="宋体" w:cs="宋体"/>
          <w:bCs/>
          <w:color w:val="auto"/>
          <w:sz w:val="21"/>
          <w:szCs w:val="21"/>
          <w:lang w:val="en-US" w:eastAsia="zh-CN"/>
        </w:rPr>
        <w:t>应符合中药材GAP要求，并通过GAP备案或延伸</w:t>
      </w:r>
      <w:r>
        <w:rPr>
          <w:rFonts w:hint="eastAsia" w:ascii="宋体" w:hAnsi="宋体" w:cs="宋体"/>
          <w:bCs/>
          <w:color w:val="auto"/>
          <w:sz w:val="21"/>
          <w:szCs w:val="21"/>
          <w:lang w:val="en-US" w:eastAsia="zh-CN"/>
        </w:rPr>
        <w:t>审查通过</w:t>
      </w:r>
      <w:r>
        <w:rPr>
          <w:rFonts w:hint="eastAsia" w:ascii="宋体" w:hAnsi="宋体" w:eastAsia="宋体" w:cs="宋体"/>
          <w:bCs/>
          <w:color w:val="auto"/>
          <w:sz w:val="21"/>
          <w:szCs w:val="21"/>
          <w:lang w:val="en-US" w:eastAsia="zh-CN"/>
        </w:rPr>
        <w:t>。</w:t>
      </w:r>
    </w:p>
    <w:p w14:paraId="073A5A92">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4.6.3 道地药材</w:t>
      </w:r>
    </w:p>
    <w:p w14:paraId="69592545">
      <w:pPr>
        <w:pStyle w:val="6"/>
        <w:pageBreakBefore w:val="0"/>
        <w:widowControl w:val="0"/>
        <w:kinsoku/>
        <w:wordWrap/>
        <w:overflowPunct/>
        <w:topLinePunct w:val="0"/>
        <w:autoSpaceDE/>
        <w:autoSpaceDN/>
        <w:bidi w:val="0"/>
        <w:adjustRightInd/>
        <w:snapToGrid/>
        <w:ind w:firstLine="420" w:firstLineChars="200"/>
        <w:jc w:val="both"/>
        <w:textAlignment w:val="auto"/>
        <w:rPr>
          <w:rFonts w:ascii="宋体" w:hAnsi="宋体" w:cs="宋体"/>
          <w:bCs/>
          <w:color w:val="000000"/>
          <w:sz w:val="21"/>
          <w:szCs w:val="21"/>
        </w:rPr>
      </w:pPr>
      <w:r>
        <w:rPr>
          <w:rFonts w:hint="eastAsia" w:ascii="宋体" w:hAnsi="宋体" w:cs="宋体"/>
          <w:bCs/>
          <w:color w:val="000000"/>
          <w:sz w:val="21"/>
          <w:szCs w:val="21"/>
          <w:lang w:eastAsia="zh-CN"/>
        </w:rPr>
        <w:t>广</w:t>
      </w:r>
      <w:r>
        <w:rPr>
          <w:rFonts w:hint="eastAsia" w:ascii="宋体" w:hAnsi="宋体" w:cs="宋体"/>
          <w:bCs/>
          <w:color w:val="000000"/>
          <w:sz w:val="21"/>
          <w:szCs w:val="21"/>
        </w:rPr>
        <w:t>肉桂精品药材应符合道地药材要求，并通过第三方道地药材认证。</w:t>
      </w:r>
    </w:p>
    <w:p w14:paraId="09D1D4BF">
      <w:pPr>
        <w:pStyle w:val="6"/>
        <w:snapToGrid/>
        <w:spacing w:before="157" w:beforeLines="50" w:after="157" w:afterLines="50"/>
        <w:jc w:val="both"/>
        <w:rPr>
          <w:rFonts w:ascii="黑体" w:hAnsi="黑体" w:eastAsia="黑体"/>
          <w:bCs/>
          <w:color w:val="000000"/>
          <w:sz w:val="21"/>
          <w:szCs w:val="21"/>
        </w:rPr>
      </w:pPr>
      <w:r>
        <w:rPr>
          <w:rFonts w:hint="eastAsia" w:ascii="黑体" w:hAnsi="黑体" w:eastAsia="黑体"/>
          <w:bCs/>
          <w:color w:val="000000"/>
          <w:sz w:val="21"/>
          <w:szCs w:val="21"/>
        </w:rPr>
        <w:t>4.7 等级及集采要求</w:t>
      </w:r>
    </w:p>
    <w:p w14:paraId="482B9CAC">
      <w:pPr>
        <w:pStyle w:val="6"/>
        <w:pageBreakBefore w:val="0"/>
        <w:widowControl w:val="0"/>
        <w:kinsoku/>
        <w:wordWrap/>
        <w:overflowPunct/>
        <w:topLinePunct w:val="0"/>
        <w:autoSpaceDE/>
        <w:autoSpaceDN/>
        <w:bidi w:val="0"/>
        <w:adjustRightInd/>
        <w:snapToGrid/>
        <w:ind w:firstLine="420" w:firstLineChars="200"/>
        <w:jc w:val="both"/>
        <w:textAlignment w:val="auto"/>
        <w:rPr>
          <w:rFonts w:hint="default" w:ascii="宋体" w:hAnsi="宋体" w:eastAsia="宋体" w:cs="宋体"/>
          <w:bCs/>
          <w:color w:val="000000"/>
          <w:sz w:val="21"/>
          <w:szCs w:val="21"/>
          <w:lang w:val="en-US" w:eastAsia="zh-CN"/>
        </w:rPr>
      </w:pPr>
      <w:r>
        <w:rPr>
          <w:rFonts w:hint="eastAsia" w:ascii="宋体" w:hAnsi="宋体" w:cs="宋体"/>
          <w:bCs/>
          <w:color w:val="000000"/>
          <w:sz w:val="21"/>
          <w:szCs w:val="21"/>
          <w:lang w:eastAsia="zh-CN"/>
        </w:rPr>
        <w:t>广</w:t>
      </w:r>
      <w:r>
        <w:rPr>
          <w:rFonts w:hint="eastAsia" w:ascii="宋体" w:hAnsi="宋体" w:cs="宋体"/>
          <w:bCs/>
          <w:color w:val="000000"/>
          <w:sz w:val="21"/>
          <w:szCs w:val="21"/>
        </w:rPr>
        <w:t>肉桂集采药材统货、选货、精品药材具体要求见表</w:t>
      </w:r>
      <w:r>
        <w:rPr>
          <w:rFonts w:hint="eastAsia" w:ascii="宋体" w:hAnsi="宋体" w:cs="宋体"/>
          <w:bCs/>
          <w:color w:val="000000"/>
          <w:sz w:val="21"/>
          <w:szCs w:val="21"/>
          <w:lang w:val="en-US" w:eastAsia="zh-CN"/>
        </w:rPr>
        <w:t>1。</w:t>
      </w:r>
    </w:p>
    <w:tbl>
      <w:tblPr>
        <w:tblStyle w:val="11"/>
        <w:tblW w:w="9700" w:type="dxa"/>
        <w:tblInd w:w="96" w:type="dxa"/>
        <w:tblLayout w:type="fixed"/>
        <w:tblCellMar>
          <w:top w:w="0" w:type="dxa"/>
          <w:left w:w="108" w:type="dxa"/>
          <w:bottom w:w="0" w:type="dxa"/>
          <w:right w:w="108" w:type="dxa"/>
        </w:tblCellMar>
      </w:tblPr>
      <w:tblGrid>
        <w:gridCol w:w="1696"/>
        <w:gridCol w:w="1762"/>
        <w:gridCol w:w="2362"/>
        <w:gridCol w:w="1614"/>
        <w:gridCol w:w="326"/>
        <w:gridCol w:w="1940"/>
      </w:tblGrid>
      <w:tr w14:paraId="5E532761">
        <w:tblPrEx>
          <w:tblCellMar>
            <w:top w:w="0" w:type="dxa"/>
            <w:left w:w="108" w:type="dxa"/>
            <w:bottom w:w="0" w:type="dxa"/>
            <w:right w:w="108" w:type="dxa"/>
          </w:tblCellMar>
        </w:tblPrEx>
        <w:trPr>
          <w:trHeight w:val="866" w:hRule="atLeast"/>
        </w:trPr>
        <w:tc>
          <w:tcPr>
            <w:tcW w:w="9700" w:type="dxa"/>
            <w:gridSpan w:val="6"/>
            <w:tcBorders>
              <w:top w:val="nil"/>
              <w:left w:val="nil"/>
              <w:bottom w:val="nil"/>
              <w:right w:val="nil"/>
            </w:tcBorders>
            <w:shd w:val="clear" w:color="auto" w:fill="FFFFFF"/>
            <w:noWrap/>
            <w:vAlign w:val="center"/>
          </w:tcPr>
          <w:p w14:paraId="0C868222">
            <w:pPr>
              <w:keepNext w:val="0"/>
              <w:keepLines w:val="0"/>
              <w:pageBreakBefore w:val="0"/>
              <w:widowControl/>
              <w:kinsoku/>
              <w:wordWrap/>
              <w:overflowPunct/>
              <w:topLinePunct w:val="0"/>
              <w:autoSpaceDE/>
              <w:autoSpaceDN/>
              <w:bidi w:val="0"/>
              <w:adjustRightInd/>
              <w:jc w:val="center"/>
              <w:textAlignment w:val="center"/>
              <w:rPr>
                <w:rFonts w:ascii="Times New Roman" w:hAnsi="Times New Roman"/>
                <w:b/>
                <w:bCs/>
                <w:sz w:val="21"/>
                <w:szCs w:val="21"/>
              </w:rPr>
            </w:pPr>
            <w:r>
              <w:rPr>
                <w:rFonts w:hint="eastAsia" w:ascii="黑体" w:hAnsi="黑体" w:eastAsia="黑体" w:cs="黑体"/>
                <w:b w:val="0"/>
                <w:bCs w:val="0"/>
                <w:kern w:val="0"/>
                <w:sz w:val="21"/>
                <w:szCs w:val="21"/>
                <w:lang w:val="en-US" w:eastAsia="zh-CN" w:bidi="ar"/>
              </w:rPr>
              <w:t>表1 道地</w:t>
            </w:r>
            <w:r>
              <w:rPr>
                <w:rFonts w:hint="eastAsia" w:ascii="黑体" w:hAnsi="黑体" w:eastAsia="黑体" w:cs="黑体"/>
                <w:b w:val="0"/>
                <w:bCs w:val="0"/>
                <w:kern w:val="0"/>
                <w:sz w:val="21"/>
                <w:szCs w:val="21"/>
                <w:lang w:bidi="ar"/>
              </w:rPr>
              <w:t xml:space="preserve">药材集采交易标准 </w:t>
            </w:r>
            <w:r>
              <w:rPr>
                <w:rFonts w:hint="eastAsia" w:ascii="黑体" w:hAnsi="黑体" w:eastAsia="黑体" w:cs="黑体"/>
                <w:b w:val="0"/>
                <w:bCs w:val="0"/>
                <w:kern w:val="0"/>
                <w:sz w:val="21"/>
                <w:szCs w:val="21"/>
                <w:lang w:eastAsia="zh-CN" w:bidi="ar"/>
              </w:rPr>
              <w:t>广</w:t>
            </w:r>
            <w:r>
              <w:rPr>
                <w:rFonts w:hint="eastAsia" w:ascii="黑体" w:hAnsi="黑体" w:eastAsia="黑体" w:cs="黑体"/>
                <w:b w:val="0"/>
                <w:bCs w:val="0"/>
                <w:kern w:val="0"/>
                <w:sz w:val="21"/>
                <w:szCs w:val="21"/>
                <w:lang w:bidi="ar"/>
              </w:rPr>
              <w:t>肉桂</w:t>
            </w:r>
          </w:p>
        </w:tc>
      </w:tr>
      <w:tr w14:paraId="1E93F840">
        <w:tblPrEx>
          <w:tblCellMar>
            <w:top w:w="0" w:type="dxa"/>
            <w:left w:w="108" w:type="dxa"/>
            <w:bottom w:w="0" w:type="dxa"/>
            <w:right w:w="108" w:type="dxa"/>
          </w:tblCellMar>
        </w:tblPrEx>
        <w:trPr>
          <w:trHeight w:val="770" w:hRule="atLeast"/>
        </w:trPr>
        <w:tc>
          <w:tcPr>
            <w:tcW w:w="3458" w:type="dxa"/>
            <w:gridSpan w:val="2"/>
            <w:tcBorders>
              <w:top w:val="single" w:color="000000" w:sz="4" w:space="0"/>
              <w:left w:val="single" w:color="auto" w:sz="4" w:space="0"/>
              <w:bottom w:val="single" w:color="000000" w:sz="4" w:space="0"/>
              <w:right w:val="single" w:color="000000" w:sz="4" w:space="0"/>
            </w:tcBorders>
            <w:shd w:val="clear" w:color="auto" w:fill="FFFFFF"/>
            <w:vAlign w:val="center"/>
            <mc:AlternateContent>
              <mc:Choice Requires="wpsCustomData">
                <wpsCustomData:diagonals>
                  <wpsCustomData:diagonal from="10000" to="30000">
                    <wpsCustomData:border w:val="single" w:color="000000" w:sz="4" w:space="0"/>
                  </wpsCustomData:diagonal>
                </wpsCustomData:diagonals>
              </mc:Choice>
            </mc:AlternateContent>
          </w:tcPr>
          <w:p w14:paraId="0C8D6DE8">
            <w:pPr>
              <w:keepNext w:val="0"/>
              <w:keepLines w:val="0"/>
              <w:pageBreakBefore w:val="0"/>
              <w:kinsoku/>
              <w:wordWrap/>
              <w:overflowPunct/>
              <w:topLinePunct w:val="0"/>
              <w:autoSpaceDE/>
              <w:autoSpaceDN/>
              <w:bidi w:val="0"/>
              <w:adjustRightInd/>
              <w:snapToGrid w:val="0"/>
              <w:spacing w:line="240" w:lineRule="auto"/>
              <w:jc w:val="center"/>
              <w:rPr>
                <w:rFonts w:hint="eastAsia" w:ascii="宋体" w:hAnsi="宋体" w:eastAsia="宋体" w:cs="宋体"/>
                <w:b w:val="0"/>
                <w:bCs w:val="0"/>
                <w:i w:val="0"/>
                <w:iCs w:val="0"/>
                <w:color w:val="000000"/>
                <w:kern w:val="0"/>
                <w:sz w:val="18"/>
                <w:szCs w:val="18"/>
                <w:u w:val="none"/>
                <w:lang w:val="en-US" w:eastAsia="zh-CN" w:bidi="ar"/>
              </w:rPr>
            </w:pPr>
          </w:p>
          <w:p w14:paraId="6C65B383">
            <w:pPr>
              <w:keepNext w:val="0"/>
              <w:keepLines w:val="0"/>
              <w:pageBreakBefore w:val="0"/>
              <w:kinsoku/>
              <w:wordWrap/>
              <w:overflowPunct/>
              <w:topLinePunct w:val="0"/>
              <w:autoSpaceDE/>
              <w:autoSpaceDN/>
              <w:bidi w:val="0"/>
              <w:adjustRightInd/>
              <w:snapToGrid w:val="0"/>
              <w:spacing w:line="240" w:lineRule="auto"/>
              <w:jc w:val="center"/>
              <mc:AlternateContent>
                <mc:Choice Requires="wpsCustomData">
                  <wpsCustomData:diagonalParaType/>
                </mc:Choice>
              </mc:AlternateContent>
              <w:rPr>
                <w:rFonts w:hint="eastAsia"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指标</w:t>
            </w:r>
          </w:p>
          <w:p w14:paraId="0C41B7DA">
            <w:pPr>
              <w:keepNext w:val="0"/>
              <w:keepLines w:val="0"/>
              <w:pageBreakBefore w:val="0"/>
              <w:kinsoku/>
              <w:wordWrap/>
              <w:overflowPunct/>
              <w:topLinePunct w:val="0"/>
              <w:autoSpaceDE/>
              <w:autoSpaceDN/>
              <w:bidi w:val="0"/>
              <w:adjustRightInd/>
              <w:jc w:val="center"/>
              <w:rPr>
                <w:rFonts w:hint="eastAsia" w:ascii="宋体" w:hAnsi="宋体" w:eastAsia="宋体" w:cs="宋体"/>
                <w:b/>
                <w:bCs/>
                <w:kern w:val="0"/>
                <w:sz w:val="18"/>
                <w:szCs w:val="18"/>
                <w:lang w:bidi="ar"/>
              </w:rPr>
            </w:pPr>
            <w:r>
              <w:rPr>
                <w:rFonts w:hint="eastAsia" w:ascii="宋体" w:hAnsi="宋体" w:eastAsia="宋体" w:cs="宋体"/>
                <w:b w:val="0"/>
                <w:bCs w:val="0"/>
                <w:i w:val="0"/>
                <w:iCs w:val="0"/>
                <w:color w:val="000000"/>
                <w:kern w:val="0"/>
                <w:sz w:val="18"/>
                <w:szCs w:val="18"/>
                <w:u w:val="none"/>
                <w:lang w:val="en-US" w:eastAsia="zh-CN" w:bidi="ar"/>
              </w:rPr>
              <w:t>等级</w:t>
            </w:r>
          </w:p>
        </w:tc>
        <w:tc>
          <w:tcPr>
            <w:tcW w:w="23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9A9F35">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b/>
                <w:bCs/>
                <w:kern w:val="0"/>
                <w:sz w:val="18"/>
                <w:szCs w:val="18"/>
                <w:lang w:bidi="ar"/>
              </w:rPr>
            </w:pPr>
            <w:r>
              <w:rPr>
                <w:rFonts w:hint="eastAsia" w:ascii="宋体" w:hAnsi="宋体" w:eastAsia="宋体" w:cs="宋体"/>
                <w:b w:val="0"/>
                <w:bCs w:val="0"/>
                <w:i w:val="0"/>
                <w:iCs w:val="0"/>
                <w:color w:val="000000"/>
                <w:kern w:val="0"/>
                <w:sz w:val="18"/>
                <w:szCs w:val="18"/>
                <w:u w:val="none"/>
                <w:lang w:val="en-US" w:eastAsia="zh-CN" w:bidi="ar"/>
              </w:rPr>
              <w:t>统货</w:t>
            </w:r>
          </w:p>
        </w:tc>
        <w:tc>
          <w:tcPr>
            <w:tcW w:w="161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A1F1DE">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b/>
                <w:bCs/>
                <w:kern w:val="0"/>
                <w:sz w:val="18"/>
                <w:szCs w:val="18"/>
                <w:lang w:bidi="ar"/>
              </w:rPr>
            </w:pPr>
            <w:r>
              <w:rPr>
                <w:rFonts w:hint="eastAsia" w:ascii="宋体" w:hAnsi="宋体" w:eastAsia="宋体" w:cs="宋体"/>
                <w:b w:val="0"/>
                <w:bCs w:val="0"/>
                <w:i w:val="0"/>
                <w:iCs w:val="0"/>
                <w:color w:val="000000"/>
                <w:kern w:val="0"/>
                <w:sz w:val="18"/>
                <w:szCs w:val="18"/>
                <w:u w:val="none"/>
                <w:lang w:val="en-US" w:eastAsia="zh-CN" w:bidi="ar"/>
              </w:rPr>
              <w:t>选货</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6011AC1C">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b/>
                <w:bCs/>
                <w:kern w:val="0"/>
                <w:sz w:val="18"/>
                <w:szCs w:val="18"/>
                <w:lang w:bidi="ar"/>
              </w:rPr>
            </w:pPr>
            <w:r>
              <w:rPr>
                <w:rFonts w:hint="eastAsia" w:ascii="宋体" w:hAnsi="宋体" w:eastAsia="宋体" w:cs="宋体"/>
                <w:b w:val="0"/>
                <w:bCs w:val="0"/>
                <w:i w:val="0"/>
                <w:iCs w:val="0"/>
                <w:color w:val="000000"/>
                <w:kern w:val="0"/>
                <w:sz w:val="18"/>
                <w:szCs w:val="18"/>
                <w:u w:val="none"/>
                <w:lang w:val="en-US" w:eastAsia="zh-CN" w:bidi="ar"/>
              </w:rPr>
              <w:t>精品药材</w:t>
            </w:r>
          </w:p>
        </w:tc>
      </w:tr>
      <w:tr w14:paraId="3BA591A2">
        <w:tblPrEx>
          <w:tblCellMar>
            <w:top w:w="0" w:type="dxa"/>
            <w:left w:w="108" w:type="dxa"/>
            <w:bottom w:w="0" w:type="dxa"/>
            <w:right w:w="108" w:type="dxa"/>
          </w:tblCellMar>
        </w:tblPrEx>
        <w:trPr>
          <w:trHeight w:val="454" w:hRule="atLeast"/>
        </w:trPr>
        <w:tc>
          <w:tcPr>
            <w:tcW w:w="169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3A85260">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来源</w:t>
            </w: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6F3F74">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lang w:eastAsia="zh-CN"/>
              </w:rPr>
            </w:pPr>
            <w:r>
              <w:rPr>
                <w:rFonts w:hint="eastAsia" w:ascii="宋体" w:hAnsi="宋体" w:cs="宋体"/>
                <w:kern w:val="0"/>
                <w:sz w:val="18"/>
                <w:szCs w:val="18"/>
                <w:lang w:val="en-US" w:eastAsia="zh-CN" w:bidi="ar"/>
              </w:rPr>
              <w:t>基原</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0408C2F">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樟科植物肉桂</w:t>
            </w:r>
            <w:r>
              <w:rPr>
                <w:rFonts w:hint="eastAsia" w:ascii="宋体" w:hAnsi="宋体" w:eastAsia="宋体" w:cs="宋体"/>
                <w:i/>
                <w:iCs/>
                <w:sz w:val="18"/>
                <w:szCs w:val="18"/>
              </w:rPr>
              <w:t>Cinnamomum cassia</w:t>
            </w:r>
            <w:r>
              <w:rPr>
                <w:rFonts w:hint="eastAsia" w:ascii="宋体" w:hAnsi="宋体" w:eastAsia="宋体" w:cs="宋体"/>
                <w:sz w:val="18"/>
                <w:szCs w:val="18"/>
              </w:rPr>
              <w:t xml:space="preserve"> Presl</w:t>
            </w:r>
          </w:p>
        </w:tc>
      </w:tr>
      <w:tr w14:paraId="3348671D">
        <w:tblPrEx>
          <w:tblCellMar>
            <w:top w:w="0" w:type="dxa"/>
            <w:left w:w="108" w:type="dxa"/>
            <w:bottom w:w="0" w:type="dxa"/>
            <w:right w:w="108" w:type="dxa"/>
          </w:tblCellMar>
        </w:tblPrEx>
        <w:trPr>
          <w:trHeight w:val="90"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9FE3DB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D97950">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药用部位</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722B725">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干燥树皮</w:t>
            </w:r>
          </w:p>
        </w:tc>
      </w:tr>
      <w:tr w14:paraId="764B1FF2">
        <w:tblPrEx>
          <w:tblCellMar>
            <w:top w:w="0" w:type="dxa"/>
            <w:left w:w="108" w:type="dxa"/>
            <w:bottom w:w="0" w:type="dxa"/>
            <w:right w:w="108" w:type="dxa"/>
          </w:tblCellMar>
        </w:tblPrEx>
        <w:trPr>
          <w:trHeight w:val="454"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969235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257D44">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采收时间</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45EAC713">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秋季</w:t>
            </w:r>
          </w:p>
        </w:tc>
      </w:tr>
      <w:tr w14:paraId="44964BB9">
        <w:tblPrEx>
          <w:tblCellMar>
            <w:top w:w="0" w:type="dxa"/>
            <w:left w:w="108" w:type="dxa"/>
            <w:bottom w:w="0" w:type="dxa"/>
            <w:right w:w="108" w:type="dxa"/>
          </w:tblCellMar>
        </w:tblPrEx>
        <w:trPr>
          <w:trHeight w:val="454"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78D02A9">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29A04F">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产地加工</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C1B593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阴干</w:t>
            </w:r>
          </w:p>
        </w:tc>
      </w:tr>
      <w:tr w14:paraId="63D333B5">
        <w:tblPrEx>
          <w:tblCellMar>
            <w:top w:w="0" w:type="dxa"/>
            <w:left w:w="108" w:type="dxa"/>
            <w:bottom w:w="0" w:type="dxa"/>
            <w:right w:w="108" w:type="dxa"/>
          </w:tblCellMar>
        </w:tblPrEx>
        <w:trPr>
          <w:trHeight w:val="454"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C62BBD">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3F4E2D">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产地</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19AA8C6D">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广西壮族自治区的防城、东兴、苍梧、藤县、岑溪、容县、北流等地区；广东省郁南、德庆、罗定、信宜、高要等区域</w:t>
            </w:r>
          </w:p>
        </w:tc>
      </w:tr>
      <w:tr w14:paraId="65AC945E">
        <w:tblPrEx>
          <w:tblCellMar>
            <w:top w:w="0" w:type="dxa"/>
            <w:left w:w="108" w:type="dxa"/>
            <w:bottom w:w="0" w:type="dxa"/>
            <w:right w:w="108" w:type="dxa"/>
          </w:tblCellMar>
        </w:tblPrEx>
        <w:trPr>
          <w:trHeight w:val="454" w:hRule="atLeast"/>
        </w:trPr>
        <w:tc>
          <w:tcPr>
            <w:tcW w:w="1696" w:type="dxa"/>
            <w:vMerge w:val="restart"/>
            <w:tcBorders>
              <w:top w:val="single" w:color="000000" w:sz="4" w:space="0"/>
              <w:left w:val="single" w:color="000000" w:sz="4" w:space="0"/>
              <w:right w:val="single" w:color="000000" w:sz="4" w:space="0"/>
            </w:tcBorders>
            <w:shd w:val="clear" w:color="auto" w:fill="FFFFFF"/>
            <w:vAlign w:val="center"/>
          </w:tcPr>
          <w:p w14:paraId="4FED588C">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性状</w:t>
            </w: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C47428">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形状</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1B0FD5F">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lang w:eastAsia="zh-CN"/>
              </w:rPr>
            </w:pPr>
            <w:r>
              <w:rPr>
                <w:rFonts w:hint="eastAsia" w:ascii="宋体" w:hAnsi="宋体" w:eastAsia="宋体" w:cs="宋体"/>
                <w:sz w:val="18"/>
                <w:szCs w:val="18"/>
              </w:rPr>
              <w:t>呈槽状或卷筒状</w:t>
            </w:r>
          </w:p>
        </w:tc>
      </w:tr>
      <w:tr w14:paraId="75D4C6B7">
        <w:tblPrEx>
          <w:tblCellMar>
            <w:top w:w="0" w:type="dxa"/>
            <w:left w:w="108" w:type="dxa"/>
            <w:bottom w:w="0" w:type="dxa"/>
            <w:right w:w="108" w:type="dxa"/>
          </w:tblCellMar>
        </w:tblPrEx>
        <w:trPr>
          <w:trHeight w:val="454" w:hRule="atLeast"/>
        </w:trPr>
        <w:tc>
          <w:tcPr>
            <w:tcW w:w="1696" w:type="dxa"/>
            <w:vMerge w:val="continue"/>
            <w:tcBorders>
              <w:left w:val="single" w:color="000000" w:sz="4" w:space="0"/>
              <w:right w:val="single" w:color="000000" w:sz="4" w:space="0"/>
            </w:tcBorders>
            <w:shd w:val="clear" w:color="auto" w:fill="FFFFFF"/>
            <w:vAlign w:val="center"/>
          </w:tcPr>
          <w:p w14:paraId="2DC0431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0A04DB">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大小</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53D3826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长30～40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cm，宽或直径3～10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cm，厚0.2～0.8</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cm</w:t>
            </w:r>
          </w:p>
        </w:tc>
      </w:tr>
      <w:tr w14:paraId="504504BD">
        <w:tblPrEx>
          <w:tblCellMar>
            <w:top w:w="0" w:type="dxa"/>
            <w:left w:w="108" w:type="dxa"/>
            <w:bottom w:w="0" w:type="dxa"/>
            <w:right w:w="108" w:type="dxa"/>
          </w:tblCellMar>
        </w:tblPrEx>
        <w:trPr>
          <w:trHeight w:val="454" w:hRule="atLeast"/>
        </w:trPr>
        <w:tc>
          <w:tcPr>
            <w:tcW w:w="1696" w:type="dxa"/>
            <w:vMerge w:val="continue"/>
            <w:tcBorders>
              <w:left w:val="single" w:color="000000" w:sz="4" w:space="0"/>
              <w:right w:val="single" w:color="000000" w:sz="4" w:space="0"/>
            </w:tcBorders>
            <w:shd w:val="clear" w:color="auto" w:fill="FFFFFF"/>
            <w:vAlign w:val="center"/>
          </w:tcPr>
          <w:p w14:paraId="54DE348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80FA25">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表面</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092F14B6">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外表面灰棕色，稍粗糙，有不规则的细皱纹和横向突起的皮孔，有的可见灰白色的斑纹；内表面红棕色，略平坦，有细纵纹，划之显油痕</w:t>
            </w:r>
          </w:p>
        </w:tc>
      </w:tr>
      <w:tr w14:paraId="79B9FF26">
        <w:tblPrEx>
          <w:tblCellMar>
            <w:top w:w="0" w:type="dxa"/>
            <w:left w:w="108" w:type="dxa"/>
            <w:bottom w:w="0" w:type="dxa"/>
            <w:right w:w="108" w:type="dxa"/>
          </w:tblCellMar>
        </w:tblPrEx>
        <w:trPr>
          <w:trHeight w:val="454" w:hRule="atLeast"/>
        </w:trPr>
        <w:tc>
          <w:tcPr>
            <w:tcW w:w="1696" w:type="dxa"/>
            <w:vMerge w:val="continue"/>
            <w:tcBorders>
              <w:left w:val="single" w:color="000000" w:sz="4" w:space="0"/>
              <w:right w:val="single" w:color="000000" w:sz="4" w:space="0"/>
            </w:tcBorders>
            <w:shd w:val="clear" w:color="auto" w:fill="FFFFFF"/>
            <w:vAlign w:val="center"/>
          </w:tcPr>
          <w:p w14:paraId="610B5A0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ABF509">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断面</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5C2CFA2">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断面纤维性，类白色或微红色，内皮层环明显，可见多数维管束小点及棕色油细胞。断面不平坦，外层棕色而较粗糙，内层红棕色而油润，两层间有1条黄棕色的线纹</w:t>
            </w:r>
          </w:p>
        </w:tc>
      </w:tr>
      <w:tr w14:paraId="3EBB8081">
        <w:tblPrEx>
          <w:tblCellMar>
            <w:top w:w="0" w:type="dxa"/>
            <w:left w:w="108" w:type="dxa"/>
            <w:bottom w:w="0" w:type="dxa"/>
            <w:right w:w="108" w:type="dxa"/>
          </w:tblCellMar>
        </w:tblPrEx>
        <w:trPr>
          <w:trHeight w:val="454" w:hRule="atLeast"/>
        </w:trPr>
        <w:tc>
          <w:tcPr>
            <w:tcW w:w="1696" w:type="dxa"/>
            <w:vMerge w:val="continue"/>
            <w:tcBorders>
              <w:left w:val="single" w:color="000000" w:sz="4" w:space="0"/>
              <w:right w:val="single" w:color="000000" w:sz="4" w:space="0"/>
            </w:tcBorders>
            <w:shd w:val="clear" w:color="auto" w:fill="FFFFFF"/>
            <w:vAlign w:val="center"/>
          </w:tcPr>
          <w:p w14:paraId="58DBA66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CD3DAB">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质地</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EBCD4C3">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质硬而脆，易折断</w:t>
            </w:r>
          </w:p>
        </w:tc>
      </w:tr>
      <w:tr w14:paraId="23D0A67B">
        <w:tblPrEx>
          <w:tblCellMar>
            <w:top w:w="0" w:type="dxa"/>
            <w:left w:w="108" w:type="dxa"/>
            <w:bottom w:w="0" w:type="dxa"/>
            <w:right w:w="108" w:type="dxa"/>
          </w:tblCellMar>
        </w:tblPrEx>
        <w:trPr>
          <w:trHeight w:val="454" w:hRule="atLeast"/>
        </w:trPr>
        <w:tc>
          <w:tcPr>
            <w:tcW w:w="1696" w:type="dxa"/>
            <w:vMerge w:val="continue"/>
            <w:tcBorders>
              <w:left w:val="single" w:color="000000" w:sz="4" w:space="0"/>
              <w:right w:val="single" w:color="000000" w:sz="4" w:space="0"/>
            </w:tcBorders>
            <w:shd w:val="clear" w:color="auto" w:fill="FFFFFF"/>
            <w:vAlign w:val="center"/>
          </w:tcPr>
          <w:p w14:paraId="77312565">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62359B">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气味</w:t>
            </w:r>
          </w:p>
        </w:tc>
        <w:tc>
          <w:tcPr>
            <w:tcW w:w="6242" w:type="dxa"/>
            <w:gridSpan w:val="4"/>
            <w:tcBorders>
              <w:top w:val="single" w:color="auto" w:sz="4" w:space="0"/>
              <w:left w:val="single" w:color="000000" w:sz="4" w:space="0"/>
              <w:bottom w:val="single" w:color="000000" w:sz="4" w:space="0"/>
              <w:right w:val="single" w:color="000000" w:sz="4" w:space="0"/>
            </w:tcBorders>
            <w:shd w:val="clear" w:color="auto" w:fill="FFFFFF"/>
            <w:vAlign w:val="center"/>
          </w:tcPr>
          <w:p w14:paraId="7C2E1D7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气香浓烈，味甜、辣</w:t>
            </w:r>
          </w:p>
        </w:tc>
      </w:tr>
      <w:tr w14:paraId="471B42FD">
        <w:tblPrEx>
          <w:tblCellMar>
            <w:top w:w="0" w:type="dxa"/>
            <w:left w:w="108" w:type="dxa"/>
            <w:bottom w:w="0" w:type="dxa"/>
            <w:right w:w="108" w:type="dxa"/>
          </w:tblCellMar>
        </w:tblPrEx>
        <w:trPr>
          <w:trHeight w:val="454" w:hRule="atLeast"/>
        </w:trPr>
        <w:tc>
          <w:tcPr>
            <w:tcW w:w="1696" w:type="dxa"/>
            <w:vMerge w:val="continue"/>
            <w:tcBorders>
              <w:left w:val="single" w:color="000000" w:sz="4" w:space="0"/>
              <w:bottom w:val="single" w:color="000000" w:sz="4" w:space="0"/>
              <w:right w:val="single" w:color="000000" w:sz="4" w:space="0"/>
            </w:tcBorders>
            <w:shd w:val="clear" w:color="auto" w:fill="FFFFFF"/>
            <w:vAlign w:val="center"/>
          </w:tcPr>
          <w:p w14:paraId="0065BAB8">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D8F6D7">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val="en-US" w:eastAsia="zh-CN" w:bidi="ar"/>
              </w:rPr>
            </w:pPr>
            <w:r>
              <w:rPr>
                <w:rFonts w:hint="eastAsia" w:ascii="宋体" w:hAnsi="宋体" w:cs="宋体"/>
                <w:kern w:val="0"/>
                <w:sz w:val="18"/>
                <w:szCs w:val="18"/>
                <w:lang w:val="en-US" w:eastAsia="zh-CN" w:bidi="ar"/>
              </w:rPr>
              <w:t>其它</w:t>
            </w:r>
          </w:p>
        </w:tc>
        <w:tc>
          <w:tcPr>
            <w:tcW w:w="2362" w:type="dxa"/>
            <w:tcBorders>
              <w:top w:val="single" w:color="auto" w:sz="4" w:space="0"/>
              <w:left w:val="single" w:color="000000" w:sz="4" w:space="0"/>
              <w:bottom w:val="single" w:color="000000" w:sz="4" w:space="0"/>
              <w:right w:val="single" w:color="000000" w:sz="4" w:space="0"/>
            </w:tcBorders>
            <w:shd w:val="clear" w:color="auto" w:fill="FFFFFF"/>
            <w:vAlign w:val="center"/>
          </w:tcPr>
          <w:p w14:paraId="5D05846C">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无霉变、无虫蛀</w:t>
            </w:r>
          </w:p>
          <w:p w14:paraId="1F2DBB3D">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杂质＜3%</w:t>
            </w:r>
          </w:p>
          <w:p w14:paraId="564959DD">
            <w:pPr>
              <w:keepNext w:val="0"/>
              <w:keepLines w:val="0"/>
              <w:pageBreakBefore w:val="0"/>
              <w:kinsoku/>
              <w:wordWrap/>
              <w:overflowPunct/>
              <w:topLinePunct w:val="0"/>
              <w:autoSpaceDE/>
              <w:autoSpaceDN/>
              <w:bidi w:val="0"/>
              <w:adjustRightInd/>
              <w:jc w:val="center"/>
              <w:rPr>
                <w:rFonts w:hint="default" w:ascii="宋体" w:hAnsi="宋体" w:cs="宋体"/>
                <w:sz w:val="18"/>
                <w:szCs w:val="18"/>
                <w:lang w:val="en-US" w:eastAsia="zh-CN"/>
              </w:rPr>
            </w:pPr>
            <w:r>
              <w:rPr>
                <w:rFonts w:hint="eastAsia" w:ascii="宋体" w:hAnsi="宋体" w:cs="宋体"/>
                <w:sz w:val="18"/>
                <w:szCs w:val="18"/>
                <w:lang w:val="en-US" w:eastAsia="zh-CN"/>
              </w:rPr>
              <w:t>挥发油≥1.2%</w:t>
            </w:r>
          </w:p>
        </w:tc>
        <w:tc>
          <w:tcPr>
            <w:tcW w:w="1940" w:type="dxa"/>
            <w:gridSpan w:val="2"/>
            <w:tcBorders>
              <w:top w:val="single" w:color="auto" w:sz="4" w:space="0"/>
              <w:left w:val="single" w:color="000000" w:sz="4" w:space="0"/>
              <w:bottom w:val="single" w:color="000000" w:sz="4" w:space="0"/>
              <w:right w:val="single" w:color="000000" w:sz="4" w:space="0"/>
            </w:tcBorders>
            <w:shd w:val="clear" w:color="auto" w:fill="FFFFFF"/>
            <w:vAlign w:val="center"/>
          </w:tcPr>
          <w:p w14:paraId="5CB9448B">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无霉变、无虫蛀</w:t>
            </w:r>
          </w:p>
          <w:p w14:paraId="51B93FD4">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杂质＜3%</w:t>
            </w:r>
          </w:p>
          <w:p w14:paraId="5453785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cs="宋体"/>
                <w:sz w:val="18"/>
                <w:szCs w:val="18"/>
                <w:lang w:val="en-US" w:eastAsia="zh-CN"/>
              </w:rPr>
              <w:t>挥发油≥1.5%</w:t>
            </w:r>
          </w:p>
        </w:tc>
        <w:tc>
          <w:tcPr>
            <w:tcW w:w="1940" w:type="dxa"/>
            <w:tcBorders>
              <w:top w:val="single" w:color="auto" w:sz="4" w:space="0"/>
              <w:left w:val="single" w:color="000000" w:sz="4" w:space="0"/>
              <w:bottom w:val="single" w:color="000000" w:sz="4" w:space="0"/>
              <w:right w:val="single" w:color="000000" w:sz="4" w:space="0"/>
            </w:tcBorders>
            <w:shd w:val="clear" w:color="auto" w:fill="FFFFFF"/>
            <w:vAlign w:val="center"/>
          </w:tcPr>
          <w:p w14:paraId="625E7DCA">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无霉变、无虫蛀</w:t>
            </w:r>
          </w:p>
          <w:p w14:paraId="3A9AEE97">
            <w:pPr>
              <w:keepNext w:val="0"/>
              <w:keepLines w:val="0"/>
              <w:pageBreakBefore w:val="0"/>
              <w:kinsoku/>
              <w:wordWrap/>
              <w:overflowPunct/>
              <w:topLinePunct w:val="0"/>
              <w:autoSpaceDE/>
              <w:autoSpaceDN/>
              <w:bidi w:val="0"/>
              <w:adjustRightInd/>
              <w:jc w:val="center"/>
              <w:rPr>
                <w:rFonts w:hint="eastAsia" w:ascii="宋体" w:hAnsi="宋体" w:cs="宋体"/>
                <w:sz w:val="18"/>
                <w:szCs w:val="18"/>
                <w:lang w:val="en-US" w:eastAsia="zh-CN"/>
              </w:rPr>
            </w:pPr>
            <w:r>
              <w:rPr>
                <w:rFonts w:hint="eastAsia" w:ascii="宋体" w:hAnsi="宋体" w:cs="宋体"/>
                <w:sz w:val="18"/>
                <w:szCs w:val="18"/>
                <w:lang w:val="en-US" w:eastAsia="zh-CN"/>
              </w:rPr>
              <w:t>杂质＜3%</w:t>
            </w:r>
          </w:p>
          <w:p w14:paraId="5E12DD1A">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cs="宋体"/>
                <w:sz w:val="18"/>
                <w:szCs w:val="18"/>
                <w:lang w:val="en-US" w:eastAsia="zh-CN"/>
              </w:rPr>
              <w:t>挥发油≥1.5%</w:t>
            </w:r>
          </w:p>
        </w:tc>
      </w:tr>
      <w:tr w14:paraId="3EDE61AB">
        <w:tblPrEx>
          <w:tblCellMar>
            <w:top w:w="0" w:type="dxa"/>
            <w:left w:w="108" w:type="dxa"/>
            <w:bottom w:w="0" w:type="dxa"/>
            <w:right w:w="108" w:type="dxa"/>
          </w:tblCellMar>
        </w:tblPrEx>
        <w:trPr>
          <w:trHeight w:val="454" w:hRule="atLeast"/>
        </w:trPr>
        <w:tc>
          <w:tcPr>
            <w:tcW w:w="1696" w:type="dxa"/>
            <w:vMerge w:val="restart"/>
            <w:tcBorders>
              <w:top w:val="single" w:color="000000" w:sz="4" w:space="0"/>
              <w:left w:val="single" w:color="000000" w:sz="4" w:space="0"/>
              <w:right w:val="single" w:color="000000" w:sz="4" w:space="0"/>
            </w:tcBorders>
            <w:shd w:val="clear" w:color="auto" w:fill="FFFFFF"/>
            <w:vAlign w:val="center"/>
          </w:tcPr>
          <w:p w14:paraId="1FDB2633">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鉴别</w:t>
            </w:r>
          </w:p>
        </w:tc>
        <w:tc>
          <w:tcPr>
            <w:tcW w:w="1762" w:type="dxa"/>
            <w:tcBorders>
              <w:top w:val="single" w:color="000000" w:sz="4" w:space="0"/>
              <w:left w:val="single" w:color="000000" w:sz="4" w:space="0"/>
              <w:bottom w:val="single" w:color="auto" w:sz="4" w:space="0"/>
              <w:right w:val="single" w:color="000000" w:sz="4" w:space="0"/>
            </w:tcBorders>
            <w:shd w:val="clear" w:color="auto" w:fill="FFFFFF"/>
            <w:vAlign w:val="center"/>
          </w:tcPr>
          <w:p w14:paraId="1D577212">
            <w:pPr>
              <w:keepNext w:val="0"/>
              <w:keepLines w:val="0"/>
              <w:pageBreakBefore w:val="0"/>
              <w:widowControl/>
              <w:kinsoku/>
              <w:wordWrap/>
              <w:overflowPunct/>
              <w:topLinePunct w:val="0"/>
              <w:autoSpaceDE/>
              <w:autoSpaceDN/>
              <w:bidi w:val="0"/>
              <w:adjustRightInd/>
              <w:jc w:val="center"/>
              <w:textAlignment w:val="center"/>
              <w:rPr>
                <w:rFonts w:hint="default" w:ascii="宋体" w:hAnsi="宋体" w:eastAsia="宋体" w:cs="宋体"/>
                <w:kern w:val="0"/>
                <w:sz w:val="18"/>
                <w:szCs w:val="18"/>
                <w:lang w:val="en-US" w:eastAsia="zh-CN" w:bidi="ar"/>
              </w:rPr>
            </w:pPr>
            <w:r>
              <w:rPr>
                <w:rFonts w:hint="eastAsia" w:ascii="宋体" w:hAnsi="宋体" w:cs="宋体"/>
                <w:kern w:val="0"/>
                <w:sz w:val="18"/>
                <w:szCs w:val="18"/>
                <w:lang w:val="en-US" w:eastAsia="zh-CN" w:bidi="ar"/>
              </w:rPr>
              <w:t>显微鉴别</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771C623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本品横切面：木栓细胞数列，最内层细胞外壁增厚，木化。皮层散有石细胞和分泌细胞。中柱鞘部位有石细胞群，断续排列成环，外侧伴有纤维束，石细胞通常外壁较薄。韧皮部射线宽1～2列细胞，含细小草酸钙针晶；纤维常2～3个成束；油细胞随处可见。薄壁细胞含淀粉粒；粉末红棕色。纤维大多单个散在，长梭形，长195～920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μm，直径约至50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μm，壁厚，木化，纹孔不明显。石细胞类方形或类圆形，直径32～88</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μm，壁厚，有的一面菲薄。油细胞类圆形或长圆形，直径45～108</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μm。草酸钙针晶细小，散在于射线细胞中。木栓细胞多角形，含红棕色物</w:t>
            </w:r>
          </w:p>
        </w:tc>
      </w:tr>
      <w:tr w14:paraId="3EB6477B">
        <w:tblPrEx>
          <w:tblCellMar>
            <w:top w:w="0" w:type="dxa"/>
            <w:left w:w="108" w:type="dxa"/>
            <w:bottom w:w="0" w:type="dxa"/>
            <w:right w:w="108" w:type="dxa"/>
          </w:tblCellMar>
        </w:tblPrEx>
        <w:trPr>
          <w:trHeight w:val="454" w:hRule="atLeast"/>
        </w:trPr>
        <w:tc>
          <w:tcPr>
            <w:tcW w:w="1696" w:type="dxa"/>
            <w:vMerge w:val="continue"/>
            <w:tcBorders>
              <w:left w:val="single" w:color="000000" w:sz="4" w:space="0"/>
              <w:bottom w:val="single" w:color="auto" w:sz="4" w:space="0"/>
              <w:right w:val="single" w:color="000000" w:sz="4" w:space="0"/>
            </w:tcBorders>
            <w:shd w:val="clear" w:color="auto" w:fill="FFFFFF"/>
            <w:vAlign w:val="center"/>
          </w:tcPr>
          <w:p w14:paraId="54EF0702">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auto" w:sz="4" w:space="0"/>
              <w:right w:val="single" w:color="000000" w:sz="4" w:space="0"/>
            </w:tcBorders>
            <w:shd w:val="clear" w:color="auto" w:fill="FFFFFF"/>
            <w:vAlign w:val="center"/>
          </w:tcPr>
          <w:p w14:paraId="1E35439F">
            <w:pPr>
              <w:keepNext w:val="0"/>
              <w:keepLines w:val="0"/>
              <w:pageBreakBefore w:val="0"/>
              <w:widowControl/>
              <w:kinsoku/>
              <w:wordWrap/>
              <w:overflowPunct/>
              <w:topLinePunct w:val="0"/>
              <w:autoSpaceDE/>
              <w:autoSpaceDN/>
              <w:bidi w:val="0"/>
              <w:adjustRightInd/>
              <w:jc w:val="center"/>
              <w:textAlignment w:val="center"/>
              <w:rPr>
                <w:rFonts w:hint="default" w:ascii="宋体" w:hAnsi="宋体" w:eastAsia="宋体" w:cs="宋体"/>
                <w:kern w:val="0"/>
                <w:sz w:val="18"/>
                <w:szCs w:val="18"/>
                <w:lang w:val="en-US" w:eastAsia="zh-CN" w:bidi="ar"/>
              </w:rPr>
            </w:pPr>
            <w:r>
              <w:rPr>
                <w:rFonts w:hint="eastAsia" w:ascii="宋体" w:hAnsi="宋体" w:cs="宋体"/>
                <w:kern w:val="0"/>
                <w:sz w:val="18"/>
                <w:szCs w:val="18"/>
                <w:lang w:val="en-US" w:eastAsia="zh-CN" w:bidi="ar"/>
              </w:rPr>
              <w:t>薄层鉴别</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27E5B98F">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取本品粉末0.5</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g，加乙醇10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w:t>
            </w:r>
            <w:r>
              <w:rPr>
                <w:rFonts w:hint="eastAsia" w:ascii="宋体" w:hAnsi="宋体" w:eastAsia="宋体" w:cs="宋体"/>
                <w:sz w:val="18"/>
                <w:szCs w:val="18"/>
                <w:lang w:val="en-US" w:eastAsia="zh-CN"/>
              </w:rPr>
              <w:t>L</w:t>
            </w:r>
            <w:r>
              <w:rPr>
                <w:rFonts w:hint="eastAsia" w:ascii="宋体" w:hAnsi="宋体" w:eastAsia="宋体" w:cs="宋体"/>
                <w:sz w:val="18"/>
                <w:szCs w:val="18"/>
              </w:rPr>
              <w:t>，冷浸20分钟，时时振摇，滤过，取滤液作为供试品溶液。另取桂皮醛对照品，加乙醇制成每1</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w:t>
            </w:r>
            <w:r>
              <w:rPr>
                <w:rFonts w:hint="eastAsia" w:ascii="宋体" w:hAnsi="宋体" w:eastAsia="宋体" w:cs="宋体"/>
                <w:sz w:val="18"/>
                <w:szCs w:val="18"/>
                <w:lang w:val="en-US" w:eastAsia="zh-CN"/>
              </w:rPr>
              <w:t>L</w:t>
            </w:r>
            <w:r>
              <w:rPr>
                <w:rFonts w:hint="eastAsia" w:ascii="宋体" w:hAnsi="宋体" w:eastAsia="宋体" w:cs="宋体"/>
                <w:sz w:val="18"/>
                <w:szCs w:val="18"/>
              </w:rPr>
              <w:t>含1</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w:t>
            </w:r>
            <w:r>
              <w:rPr>
                <w:rFonts w:hint="eastAsia" w:ascii="宋体" w:hAnsi="宋体" w:eastAsia="宋体" w:cs="宋体"/>
                <w:sz w:val="18"/>
                <w:szCs w:val="18"/>
                <w:lang w:val="en-US" w:eastAsia="zh-CN"/>
              </w:rPr>
              <w:t>L</w:t>
            </w:r>
            <w:r>
              <w:rPr>
                <w:rFonts w:hint="eastAsia" w:ascii="宋体" w:hAnsi="宋体" w:eastAsia="宋体" w:cs="宋体"/>
                <w:sz w:val="18"/>
                <w:szCs w:val="18"/>
              </w:rPr>
              <w:t>的溶液，作为对照品溶液。照薄层色谱法（</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中华人民共和国药典》２０２０年版</w:t>
            </w:r>
            <w:r>
              <w:rPr>
                <w:rFonts w:hint="eastAsia" w:ascii="宋体" w:hAnsi="宋体" w:eastAsia="宋体" w:cs="宋体"/>
                <w:sz w:val="18"/>
                <w:szCs w:val="18"/>
              </w:rPr>
              <w:t>通则0502）试验，吸取供试品溶液2～5</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w:t>
            </w:r>
            <w:r>
              <w:rPr>
                <w:rFonts w:hint="eastAsia" w:ascii="宋体" w:hAnsi="宋体" w:eastAsia="宋体" w:cs="宋体"/>
                <w:sz w:val="18"/>
                <w:szCs w:val="18"/>
                <w:lang w:val="en-US" w:eastAsia="zh-CN"/>
              </w:rPr>
              <w:t>L</w:t>
            </w:r>
            <w:r>
              <w:rPr>
                <w:rFonts w:hint="eastAsia" w:ascii="宋体" w:hAnsi="宋体" w:eastAsia="宋体" w:cs="宋体"/>
                <w:sz w:val="18"/>
                <w:szCs w:val="18"/>
              </w:rPr>
              <w:t>、对照品溶液2</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μ</w:t>
            </w:r>
            <w:r>
              <w:rPr>
                <w:rFonts w:hint="eastAsia" w:ascii="宋体" w:hAnsi="宋体" w:eastAsia="宋体" w:cs="宋体"/>
                <w:sz w:val="18"/>
                <w:szCs w:val="18"/>
                <w:lang w:val="en-US" w:eastAsia="zh-CN"/>
              </w:rPr>
              <w:t>L</w:t>
            </w:r>
            <w:r>
              <w:rPr>
                <w:rFonts w:hint="eastAsia" w:ascii="宋体" w:hAnsi="宋体" w:eastAsia="宋体" w:cs="宋体"/>
                <w:sz w:val="18"/>
                <w:szCs w:val="18"/>
              </w:rPr>
              <w:t>，分别点于同一硅胶G薄层板上，以石油醚（60～90℃）-乙酸乙酯（17∶3）为展开剂，展开，取出，晾干，喷以二硝基苯肼乙醇试液。供试品色谱中，在与对照品色谱相应的位置上，显相同颜色的斑点</w:t>
            </w:r>
          </w:p>
        </w:tc>
      </w:tr>
      <w:tr w14:paraId="7C118798">
        <w:tblPrEx>
          <w:tblCellMar>
            <w:top w:w="0" w:type="dxa"/>
            <w:left w:w="108" w:type="dxa"/>
            <w:bottom w:w="0" w:type="dxa"/>
            <w:right w:w="108" w:type="dxa"/>
          </w:tblCellMar>
        </w:tblPrEx>
        <w:trPr>
          <w:trHeight w:val="454" w:hRule="atLeast"/>
        </w:trPr>
        <w:tc>
          <w:tcPr>
            <w:tcW w:w="1696" w:type="dxa"/>
            <w:vMerge w:val="restart"/>
            <w:tcBorders>
              <w:top w:val="single" w:color="auto" w:sz="4" w:space="0"/>
              <w:left w:val="single" w:color="auto" w:sz="4" w:space="0"/>
              <w:right w:val="single" w:color="auto" w:sz="4" w:space="0"/>
            </w:tcBorders>
            <w:shd w:val="clear" w:color="auto" w:fill="FFFFFF"/>
            <w:vAlign w:val="center"/>
          </w:tcPr>
          <w:p w14:paraId="1937C6CA">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检查</w:t>
            </w:r>
          </w:p>
        </w:tc>
        <w:tc>
          <w:tcPr>
            <w:tcW w:w="1762" w:type="dxa"/>
            <w:tcBorders>
              <w:top w:val="single" w:color="auto" w:sz="4" w:space="0"/>
              <w:left w:val="single" w:color="auto" w:sz="4" w:space="0"/>
              <w:bottom w:val="single" w:color="auto" w:sz="4" w:space="0"/>
              <w:right w:val="single" w:color="auto" w:sz="4" w:space="0"/>
            </w:tcBorders>
            <w:shd w:val="clear" w:color="auto" w:fill="FFFFFF"/>
            <w:vAlign w:val="center"/>
          </w:tcPr>
          <w:p w14:paraId="7F30BC05">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水分</w:t>
            </w:r>
          </w:p>
        </w:tc>
        <w:tc>
          <w:tcPr>
            <w:tcW w:w="6242"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3940BF50">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不得过15.0%</w:t>
            </w:r>
          </w:p>
        </w:tc>
      </w:tr>
      <w:tr w14:paraId="1CAC52AB">
        <w:tblPrEx>
          <w:tblCellMar>
            <w:top w:w="0" w:type="dxa"/>
            <w:left w:w="108" w:type="dxa"/>
            <w:bottom w:w="0" w:type="dxa"/>
            <w:right w:w="108" w:type="dxa"/>
          </w:tblCellMar>
        </w:tblPrEx>
        <w:trPr>
          <w:trHeight w:val="222" w:hRule="atLeast"/>
        </w:trPr>
        <w:tc>
          <w:tcPr>
            <w:tcW w:w="1696" w:type="dxa"/>
            <w:vMerge w:val="continue"/>
            <w:tcBorders>
              <w:left w:val="single" w:color="auto" w:sz="4" w:space="0"/>
              <w:right w:val="single" w:color="auto" w:sz="4" w:space="0"/>
            </w:tcBorders>
            <w:shd w:val="clear" w:color="auto" w:fill="FFFFFF"/>
            <w:vAlign w:val="center"/>
          </w:tcPr>
          <w:p w14:paraId="14F8AA95">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auto" w:sz="4" w:space="0"/>
              <w:left w:val="single" w:color="auto" w:sz="4" w:space="0"/>
              <w:right w:val="single" w:color="auto" w:sz="4" w:space="0"/>
            </w:tcBorders>
            <w:shd w:val="clear" w:color="auto" w:fill="FFFFFF"/>
            <w:vAlign w:val="center"/>
          </w:tcPr>
          <w:p w14:paraId="097B8357">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总灰分</w:t>
            </w:r>
          </w:p>
        </w:tc>
        <w:tc>
          <w:tcPr>
            <w:tcW w:w="6242"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0ACD748F">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不得过5.0%</w:t>
            </w:r>
          </w:p>
        </w:tc>
      </w:tr>
      <w:tr w14:paraId="2CA0368C">
        <w:tblPrEx>
          <w:tblCellMar>
            <w:top w:w="0" w:type="dxa"/>
            <w:left w:w="108" w:type="dxa"/>
            <w:bottom w:w="0" w:type="dxa"/>
            <w:right w:w="108" w:type="dxa"/>
          </w:tblCellMar>
        </w:tblPrEx>
        <w:trPr>
          <w:trHeight w:val="454" w:hRule="atLeast"/>
        </w:trPr>
        <w:tc>
          <w:tcPr>
            <w:tcW w:w="1696" w:type="dxa"/>
            <w:vMerge w:val="continue"/>
            <w:tcBorders>
              <w:left w:val="single" w:color="auto" w:sz="4" w:space="0"/>
              <w:right w:val="single" w:color="auto" w:sz="4" w:space="0"/>
            </w:tcBorders>
            <w:shd w:val="clear" w:color="auto" w:fill="FFFFFF"/>
            <w:vAlign w:val="center"/>
          </w:tcPr>
          <w:p w14:paraId="2607967B">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auto" w:sz="4" w:space="0"/>
              <w:left w:val="single" w:color="auto" w:sz="4" w:space="0"/>
              <w:bottom w:val="single" w:color="auto" w:sz="4" w:space="0"/>
              <w:right w:val="single" w:color="auto" w:sz="4" w:space="0"/>
            </w:tcBorders>
            <w:shd w:val="clear" w:color="auto" w:fill="FFFFFF"/>
            <w:vAlign w:val="center"/>
          </w:tcPr>
          <w:p w14:paraId="14A4793E">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浸出物</w:t>
            </w:r>
          </w:p>
        </w:tc>
        <w:tc>
          <w:tcPr>
            <w:tcW w:w="6242"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5AD55D54">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不得少于12.0%</w:t>
            </w:r>
          </w:p>
        </w:tc>
      </w:tr>
      <w:tr w14:paraId="767E5FF7">
        <w:tblPrEx>
          <w:tblCellMar>
            <w:top w:w="0" w:type="dxa"/>
            <w:left w:w="108" w:type="dxa"/>
            <w:bottom w:w="0" w:type="dxa"/>
            <w:right w:w="108" w:type="dxa"/>
          </w:tblCellMar>
        </w:tblPrEx>
        <w:trPr>
          <w:trHeight w:val="454" w:hRule="atLeast"/>
        </w:trPr>
        <w:tc>
          <w:tcPr>
            <w:tcW w:w="1696" w:type="dxa"/>
            <w:vMerge w:val="continue"/>
            <w:tcBorders>
              <w:left w:val="single" w:color="auto" w:sz="4" w:space="0"/>
              <w:right w:val="single" w:color="auto" w:sz="4" w:space="0"/>
            </w:tcBorders>
            <w:shd w:val="clear" w:color="auto" w:fill="FFFFFF"/>
            <w:vAlign w:val="center"/>
          </w:tcPr>
          <w:p w14:paraId="65FBEBA2">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auto" w:sz="4" w:space="0"/>
              <w:left w:val="single" w:color="auto" w:sz="4" w:space="0"/>
              <w:bottom w:val="single" w:color="auto" w:sz="4" w:space="0"/>
              <w:right w:val="single" w:color="auto" w:sz="4" w:space="0"/>
            </w:tcBorders>
            <w:shd w:val="clear" w:color="auto" w:fill="FFFFFF"/>
            <w:vAlign w:val="center"/>
          </w:tcPr>
          <w:p w14:paraId="16F11F3E">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二氧化硫</w:t>
            </w:r>
            <w:r>
              <w:rPr>
                <w:rFonts w:hint="eastAsia" w:ascii="宋体" w:hAnsi="宋体" w:cs="宋体"/>
                <w:kern w:val="0"/>
                <w:sz w:val="18"/>
                <w:szCs w:val="18"/>
                <w:lang w:val="en-US" w:eastAsia="zh-CN" w:bidi="ar"/>
              </w:rPr>
              <w:t>残留</w:t>
            </w:r>
            <w:r>
              <w:rPr>
                <w:rFonts w:hint="eastAsia" w:ascii="宋体" w:hAnsi="宋体" w:eastAsia="宋体" w:cs="宋体"/>
                <w:kern w:val="0"/>
                <w:sz w:val="18"/>
                <w:szCs w:val="18"/>
                <w:lang w:bidi="ar"/>
              </w:rPr>
              <w:t>*</w:t>
            </w:r>
          </w:p>
        </w:tc>
        <w:tc>
          <w:tcPr>
            <w:tcW w:w="6242" w:type="dxa"/>
            <w:gridSpan w:val="4"/>
            <w:tcBorders>
              <w:top w:val="single" w:color="000000" w:sz="4" w:space="0"/>
              <w:left w:val="single" w:color="auto" w:sz="4" w:space="0"/>
              <w:bottom w:val="single" w:color="000000" w:sz="4" w:space="0"/>
              <w:right w:val="single" w:color="000000" w:sz="4" w:space="0"/>
            </w:tcBorders>
            <w:shd w:val="clear" w:color="auto" w:fill="FFFFFF"/>
            <w:vAlign w:val="center"/>
          </w:tcPr>
          <w:p w14:paraId="559D89D4">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≤150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w:t>
            </w:r>
          </w:p>
        </w:tc>
      </w:tr>
      <w:tr w14:paraId="7BC885C8">
        <w:tblPrEx>
          <w:tblCellMar>
            <w:top w:w="0" w:type="dxa"/>
            <w:left w:w="108" w:type="dxa"/>
            <w:bottom w:w="0" w:type="dxa"/>
            <w:right w:w="108" w:type="dxa"/>
          </w:tblCellMar>
        </w:tblPrEx>
        <w:trPr>
          <w:trHeight w:val="454" w:hRule="atLeast"/>
        </w:trPr>
        <w:tc>
          <w:tcPr>
            <w:tcW w:w="1696" w:type="dxa"/>
            <w:vMerge w:val="continue"/>
            <w:tcBorders>
              <w:left w:val="single" w:color="auto" w:sz="4" w:space="0"/>
              <w:right w:val="single" w:color="auto" w:sz="4" w:space="0"/>
            </w:tcBorders>
            <w:shd w:val="clear" w:color="auto" w:fill="FFFFFF"/>
            <w:vAlign w:val="center"/>
          </w:tcPr>
          <w:p w14:paraId="4CE36BE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auto" w:sz="4" w:space="0"/>
              <w:left w:val="single" w:color="auto" w:sz="4" w:space="0"/>
              <w:bottom w:val="single" w:color="auto" w:sz="4" w:space="0"/>
              <w:right w:val="single" w:color="auto" w:sz="4" w:space="0"/>
            </w:tcBorders>
            <w:shd w:val="clear" w:color="auto" w:fill="FFFFFF"/>
            <w:vAlign w:val="center"/>
          </w:tcPr>
          <w:p w14:paraId="07AB5984">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农药残留*</w:t>
            </w:r>
          </w:p>
        </w:tc>
        <w:tc>
          <w:tcPr>
            <w:tcW w:w="6242" w:type="dxa"/>
            <w:gridSpan w:val="4"/>
            <w:tcBorders>
              <w:top w:val="single" w:color="000000" w:sz="4" w:space="0"/>
              <w:left w:val="single" w:color="auto" w:sz="4" w:space="0"/>
              <w:bottom w:val="single" w:color="auto" w:sz="4" w:space="0"/>
              <w:right w:val="single" w:color="000000" w:sz="4" w:space="0"/>
            </w:tcBorders>
            <w:shd w:val="clear" w:color="auto" w:fill="FFFFFF"/>
            <w:vAlign w:val="center"/>
          </w:tcPr>
          <w:p w14:paraId="44F19452">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i w:val="0"/>
                <w:iCs w:val="0"/>
                <w:color w:val="000000"/>
                <w:sz w:val="18"/>
                <w:szCs w:val="18"/>
                <w:u w:val="none"/>
                <w:lang w:val="en-US" w:eastAsia="zh-CN"/>
              </w:rPr>
              <w:t>《中华人民共和国药典》2020年版通则0212中列出的</w:t>
            </w:r>
            <w:r>
              <w:rPr>
                <w:rFonts w:hint="eastAsia" w:ascii="宋体" w:hAnsi="宋体" w:cs="宋体"/>
                <w:i w:val="0"/>
                <w:iCs w:val="0"/>
                <w:color w:val="000000"/>
                <w:sz w:val="18"/>
                <w:szCs w:val="18"/>
                <w:u w:val="none"/>
                <w:lang w:val="en-US" w:eastAsia="zh-CN"/>
              </w:rPr>
              <w:t>禁用</w:t>
            </w:r>
            <w:r>
              <w:rPr>
                <w:rFonts w:hint="eastAsia" w:ascii="宋体" w:hAnsi="宋体" w:eastAsia="宋体" w:cs="宋体"/>
                <w:i w:val="0"/>
                <w:iCs w:val="0"/>
                <w:color w:val="000000"/>
                <w:sz w:val="18"/>
                <w:szCs w:val="18"/>
                <w:u w:val="none"/>
                <w:lang w:val="en-US" w:eastAsia="zh-CN"/>
              </w:rPr>
              <w:t>农药残留不得检出</w:t>
            </w:r>
          </w:p>
        </w:tc>
      </w:tr>
      <w:tr w14:paraId="7D5D4794">
        <w:tblPrEx>
          <w:tblCellMar>
            <w:top w:w="0" w:type="dxa"/>
            <w:left w:w="108" w:type="dxa"/>
            <w:bottom w:w="0" w:type="dxa"/>
            <w:right w:w="108" w:type="dxa"/>
          </w:tblCellMar>
        </w:tblPrEx>
        <w:trPr>
          <w:trHeight w:val="454" w:hRule="atLeast"/>
        </w:trPr>
        <w:tc>
          <w:tcPr>
            <w:tcW w:w="1696" w:type="dxa"/>
            <w:vMerge w:val="continue"/>
            <w:tcBorders>
              <w:left w:val="single" w:color="auto" w:sz="4" w:space="0"/>
              <w:bottom w:val="nil"/>
              <w:right w:val="single" w:color="auto" w:sz="4" w:space="0"/>
            </w:tcBorders>
            <w:shd w:val="clear" w:color="auto" w:fill="FFFFFF"/>
            <w:vAlign w:val="center"/>
          </w:tcPr>
          <w:p w14:paraId="26CD6DB9">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p>
        </w:tc>
        <w:tc>
          <w:tcPr>
            <w:tcW w:w="1762" w:type="dxa"/>
            <w:tcBorders>
              <w:top w:val="single" w:color="000000" w:sz="4" w:space="0"/>
              <w:left w:val="single" w:color="000000" w:sz="4" w:space="0"/>
              <w:bottom w:val="single" w:color="000000" w:sz="4" w:space="0"/>
              <w:right w:val="single" w:color="auto" w:sz="4" w:space="0"/>
            </w:tcBorders>
            <w:shd w:val="clear" w:color="auto" w:fill="FFFFFF"/>
            <w:vAlign w:val="center"/>
          </w:tcPr>
          <w:p w14:paraId="6DBEDE1D">
            <w:pPr>
              <w:keepNext w:val="0"/>
              <w:keepLines w:val="0"/>
              <w:pageBreakBefore w:val="0"/>
              <w:widowControl/>
              <w:kinsoku/>
              <w:wordWrap/>
              <w:overflowPunct/>
              <w:topLinePunct w:val="0"/>
              <w:autoSpaceDE/>
              <w:autoSpaceDN/>
              <w:bidi w:val="0"/>
              <w:adjustRightInd/>
              <w:jc w:val="center"/>
              <w:textAlignment w:val="center"/>
              <w:rPr>
                <w:rFonts w:hint="default" w:ascii="宋体" w:hAnsi="宋体" w:eastAsia="宋体" w:cs="宋体"/>
                <w:sz w:val="18"/>
                <w:szCs w:val="18"/>
                <w:lang w:val="en-US" w:eastAsia="zh-CN"/>
              </w:rPr>
            </w:pPr>
            <w:r>
              <w:rPr>
                <w:rFonts w:hint="eastAsia" w:ascii="宋体" w:hAnsi="宋体" w:eastAsia="宋体" w:cs="宋体"/>
                <w:kern w:val="0"/>
                <w:sz w:val="18"/>
                <w:szCs w:val="18"/>
                <w:lang w:bidi="ar"/>
              </w:rPr>
              <w:t>重金属</w:t>
            </w:r>
            <w:r>
              <w:rPr>
                <w:rFonts w:hint="eastAsia" w:ascii="宋体" w:hAnsi="宋体" w:cs="宋体"/>
                <w:kern w:val="0"/>
                <w:sz w:val="18"/>
                <w:szCs w:val="18"/>
                <w:lang w:val="en-US" w:eastAsia="zh-CN" w:bidi="ar"/>
              </w:rPr>
              <w:t>残留*</w:t>
            </w:r>
          </w:p>
        </w:tc>
        <w:tc>
          <w:tcPr>
            <w:tcW w:w="6242" w:type="dxa"/>
            <w:gridSpan w:val="4"/>
            <w:tcBorders>
              <w:top w:val="single" w:color="auto" w:sz="4" w:space="0"/>
              <w:left w:val="single" w:color="auto" w:sz="4" w:space="0"/>
              <w:bottom w:val="single" w:color="auto" w:sz="4" w:space="0"/>
              <w:right w:val="single" w:color="auto" w:sz="4" w:space="0"/>
            </w:tcBorders>
            <w:shd w:val="clear" w:color="auto" w:fill="FFFFFF"/>
            <w:vAlign w:val="center"/>
          </w:tcPr>
          <w:p w14:paraId="61D6297C">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铅不得过5</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mg/kg；镉不得过1</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mg/kg；砷不得过2</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mg/kg；汞不得过0.2</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mg/kg；铜不得过20</w:t>
            </w:r>
            <w:r>
              <w:rPr>
                <w:rFonts w:hint="eastAsia" w:ascii="宋体" w:hAnsi="宋体" w:eastAsia="宋体" w:cs="宋体"/>
                <w:color w:val="000000"/>
                <w:sz w:val="18"/>
                <w:szCs w:val="18"/>
                <w:lang w:val="en-US" w:eastAsia="zh-CN"/>
              </w:rPr>
              <w:t xml:space="preserve"> </w:t>
            </w:r>
            <w:r>
              <w:rPr>
                <w:rFonts w:hint="eastAsia" w:ascii="宋体" w:hAnsi="宋体" w:eastAsia="宋体" w:cs="宋体"/>
                <w:sz w:val="18"/>
                <w:szCs w:val="18"/>
              </w:rPr>
              <w:t>mg/kg</w:t>
            </w:r>
          </w:p>
        </w:tc>
      </w:tr>
      <w:tr w14:paraId="36F374FD">
        <w:tblPrEx>
          <w:tblCellMar>
            <w:top w:w="0" w:type="dxa"/>
            <w:left w:w="108" w:type="dxa"/>
            <w:bottom w:w="0" w:type="dxa"/>
            <w:right w:w="108" w:type="dxa"/>
          </w:tblCellMar>
        </w:tblPrEx>
        <w:trPr>
          <w:trHeight w:val="90" w:hRule="atLeast"/>
        </w:trPr>
        <w:tc>
          <w:tcPr>
            <w:tcW w:w="1696" w:type="dxa"/>
            <w:vMerge w:val="restart"/>
            <w:tcBorders>
              <w:top w:val="single" w:color="000000" w:sz="4" w:space="0"/>
              <w:left w:val="single" w:color="000000" w:sz="4" w:space="0"/>
              <w:right w:val="single" w:color="000000" w:sz="4" w:space="0"/>
            </w:tcBorders>
            <w:shd w:val="clear" w:color="auto" w:fill="FFFFFF"/>
            <w:vAlign w:val="center"/>
          </w:tcPr>
          <w:p w14:paraId="7065D5F1">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kern w:val="0"/>
                <w:sz w:val="18"/>
                <w:szCs w:val="18"/>
                <w:lang w:bidi="ar"/>
              </w:rPr>
              <w:t>含量</w:t>
            </w:r>
          </w:p>
        </w:tc>
        <w:tc>
          <w:tcPr>
            <w:tcW w:w="1762" w:type="dxa"/>
            <w:tcBorders>
              <w:top w:val="single" w:color="000000" w:sz="4" w:space="0"/>
              <w:left w:val="nil"/>
              <w:bottom w:val="single" w:color="000000" w:sz="4" w:space="0"/>
              <w:right w:val="single" w:color="000000" w:sz="4" w:space="0"/>
            </w:tcBorders>
            <w:shd w:val="clear" w:color="auto" w:fill="FFFFFF"/>
            <w:vAlign w:val="center"/>
          </w:tcPr>
          <w:p w14:paraId="15A7B6D7">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sz w:val="18"/>
                <w:szCs w:val="18"/>
              </w:rPr>
              <w:t>挥发油</w:t>
            </w:r>
          </w:p>
        </w:tc>
        <w:tc>
          <w:tcPr>
            <w:tcW w:w="6242" w:type="dxa"/>
            <w:gridSpan w:val="4"/>
            <w:tcBorders>
              <w:top w:val="single" w:color="auto" w:sz="4" w:space="0"/>
              <w:left w:val="single" w:color="000000" w:sz="4" w:space="0"/>
              <w:bottom w:val="single" w:color="000000" w:sz="4" w:space="0"/>
              <w:right w:val="single" w:color="000000" w:sz="4" w:space="0"/>
            </w:tcBorders>
            <w:shd w:val="clear" w:color="auto" w:fill="FFFFFF"/>
            <w:vAlign w:val="center"/>
          </w:tcPr>
          <w:p w14:paraId="76CBA241">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本品含挥发油不得少于1.2%（m</w:t>
            </w:r>
            <w:r>
              <w:rPr>
                <w:rFonts w:hint="eastAsia" w:ascii="宋体" w:hAnsi="宋体" w:eastAsia="宋体" w:cs="宋体"/>
                <w:sz w:val="18"/>
                <w:szCs w:val="18"/>
                <w:lang w:val="en-US" w:eastAsia="zh-CN"/>
              </w:rPr>
              <w:t>L</w:t>
            </w:r>
            <w:r>
              <w:rPr>
                <w:rFonts w:hint="eastAsia" w:ascii="宋体" w:hAnsi="宋体" w:eastAsia="宋体" w:cs="宋体"/>
                <w:sz w:val="18"/>
                <w:szCs w:val="18"/>
              </w:rPr>
              <w:t>/g）</w:t>
            </w:r>
          </w:p>
        </w:tc>
      </w:tr>
      <w:tr w14:paraId="4E2E09A1">
        <w:tblPrEx>
          <w:tblCellMar>
            <w:top w:w="0" w:type="dxa"/>
            <w:left w:w="108" w:type="dxa"/>
            <w:bottom w:w="0" w:type="dxa"/>
            <w:right w:w="108" w:type="dxa"/>
          </w:tblCellMar>
        </w:tblPrEx>
        <w:trPr>
          <w:trHeight w:val="90" w:hRule="atLeast"/>
        </w:trPr>
        <w:tc>
          <w:tcPr>
            <w:tcW w:w="1696" w:type="dxa"/>
            <w:vMerge w:val="continue"/>
            <w:tcBorders>
              <w:left w:val="single" w:color="000000" w:sz="4" w:space="0"/>
              <w:right w:val="single" w:color="000000" w:sz="4" w:space="0"/>
            </w:tcBorders>
            <w:shd w:val="clear" w:color="auto" w:fill="FFFFFF"/>
            <w:vAlign w:val="center"/>
          </w:tcPr>
          <w:p w14:paraId="0E02CD32">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p>
        </w:tc>
        <w:tc>
          <w:tcPr>
            <w:tcW w:w="1762" w:type="dxa"/>
            <w:tcBorders>
              <w:top w:val="single" w:color="000000" w:sz="4" w:space="0"/>
              <w:left w:val="nil"/>
              <w:bottom w:val="single" w:color="000000" w:sz="4" w:space="0"/>
              <w:right w:val="single" w:color="000000" w:sz="4" w:space="0"/>
            </w:tcBorders>
            <w:shd w:val="clear" w:color="auto" w:fill="FFFFFF"/>
            <w:vAlign w:val="center"/>
          </w:tcPr>
          <w:p w14:paraId="229B2102">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sz w:val="18"/>
                <w:szCs w:val="18"/>
              </w:rPr>
            </w:pPr>
            <w:r>
              <w:rPr>
                <w:rFonts w:hint="eastAsia" w:ascii="宋体" w:hAnsi="宋体" w:eastAsia="宋体" w:cs="宋体"/>
                <w:sz w:val="18"/>
                <w:szCs w:val="18"/>
              </w:rPr>
              <w:t>桂皮醛（</w:t>
            </w:r>
            <w:r>
              <w:rPr>
                <w:rFonts w:hint="eastAsia" w:ascii="宋体" w:hAnsi="宋体" w:cs="宋体"/>
                <w:sz w:val="18"/>
                <w:szCs w:val="18"/>
                <w:lang w:val="en-US" w:eastAsia="zh-CN"/>
              </w:rPr>
              <w:t>C</w:t>
            </w:r>
            <w:r>
              <w:rPr>
                <w:rFonts w:hint="eastAsia" w:ascii="宋体" w:hAnsi="宋体" w:eastAsia="宋体" w:cs="宋体"/>
                <w:sz w:val="18"/>
                <w:szCs w:val="18"/>
                <w:vertAlign w:val="subscript"/>
              </w:rPr>
              <w:t>9</w:t>
            </w:r>
            <w:r>
              <w:rPr>
                <w:rFonts w:hint="eastAsia" w:ascii="宋体" w:hAnsi="宋体" w:eastAsia="宋体" w:cs="宋体"/>
                <w:sz w:val="18"/>
                <w:szCs w:val="18"/>
              </w:rPr>
              <w:t>H</w:t>
            </w:r>
            <w:r>
              <w:rPr>
                <w:rFonts w:hint="eastAsia" w:ascii="宋体" w:hAnsi="宋体" w:eastAsia="宋体" w:cs="宋体"/>
                <w:sz w:val="18"/>
                <w:szCs w:val="18"/>
                <w:vertAlign w:val="subscript"/>
              </w:rPr>
              <w:t>8</w:t>
            </w:r>
            <w:r>
              <w:rPr>
                <w:rFonts w:hint="eastAsia" w:ascii="宋体" w:hAnsi="宋体" w:eastAsia="宋体" w:cs="宋体"/>
                <w:sz w:val="18"/>
                <w:szCs w:val="18"/>
              </w:rPr>
              <w:t>O）</w:t>
            </w:r>
          </w:p>
        </w:tc>
        <w:tc>
          <w:tcPr>
            <w:tcW w:w="6242" w:type="dxa"/>
            <w:gridSpan w:val="4"/>
            <w:tcBorders>
              <w:top w:val="single" w:color="auto" w:sz="4" w:space="0"/>
              <w:left w:val="single" w:color="000000" w:sz="4" w:space="0"/>
              <w:bottom w:val="single" w:color="000000" w:sz="4" w:space="0"/>
              <w:right w:val="single" w:color="000000" w:sz="4" w:space="0"/>
            </w:tcBorders>
            <w:shd w:val="clear" w:color="auto" w:fill="FFFFFF"/>
            <w:vAlign w:val="center"/>
          </w:tcPr>
          <w:p w14:paraId="02D22A63">
            <w:pPr>
              <w:keepNext w:val="0"/>
              <w:keepLines w:val="0"/>
              <w:pageBreakBefore w:val="0"/>
              <w:kinsoku/>
              <w:wordWrap/>
              <w:overflowPunct/>
              <w:topLinePunct w:val="0"/>
              <w:autoSpaceDE/>
              <w:autoSpaceDN/>
              <w:bidi w:val="0"/>
              <w:adjustRightInd/>
              <w:jc w:val="center"/>
              <w:rPr>
                <w:rFonts w:hint="eastAsia" w:ascii="宋体" w:hAnsi="宋体" w:eastAsia="宋体" w:cs="宋体"/>
                <w:sz w:val="18"/>
                <w:szCs w:val="18"/>
              </w:rPr>
            </w:pPr>
            <w:r>
              <w:rPr>
                <w:rFonts w:hint="eastAsia" w:ascii="宋体" w:hAnsi="宋体" w:eastAsia="宋体" w:cs="宋体"/>
                <w:sz w:val="18"/>
                <w:szCs w:val="18"/>
              </w:rPr>
              <w:t>按干燥品计算，含桂皮醛（Ｃ9H8O）不得少于1.5%</w:t>
            </w:r>
          </w:p>
        </w:tc>
      </w:tr>
      <w:tr w14:paraId="14841754">
        <w:tblPrEx>
          <w:tblCellMar>
            <w:top w:w="0" w:type="dxa"/>
            <w:left w:w="108" w:type="dxa"/>
            <w:bottom w:w="0" w:type="dxa"/>
            <w:right w:w="108" w:type="dxa"/>
          </w:tblCellMar>
        </w:tblPrEx>
        <w:trPr>
          <w:trHeight w:val="454" w:hRule="atLeast"/>
        </w:trPr>
        <w:tc>
          <w:tcPr>
            <w:tcW w:w="1696"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94705">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质量控制</w:t>
            </w: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E0509A">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可追溯*</w:t>
            </w:r>
          </w:p>
        </w:tc>
        <w:tc>
          <w:tcPr>
            <w:tcW w:w="6242"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14:paraId="3ABA2F15">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cs="宋体"/>
                <w:color w:val="000000"/>
                <w:kern w:val="0"/>
                <w:sz w:val="18"/>
                <w:szCs w:val="18"/>
                <w:lang w:bidi="ar"/>
              </w:rPr>
              <w:t>通过第三方溯源评价</w:t>
            </w:r>
          </w:p>
        </w:tc>
      </w:tr>
      <w:tr w14:paraId="4BA1B13E">
        <w:tblPrEx>
          <w:tblCellMar>
            <w:top w:w="0" w:type="dxa"/>
            <w:left w:w="108" w:type="dxa"/>
            <w:bottom w:w="0" w:type="dxa"/>
            <w:right w:w="108" w:type="dxa"/>
          </w:tblCellMar>
        </w:tblPrEx>
        <w:trPr>
          <w:trHeight w:val="454"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7CAD9">
            <w:pPr>
              <w:keepNext w:val="0"/>
              <w:keepLines w:val="0"/>
              <w:pageBreakBefore w:val="0"/>
              <w:kinsoku/>
              <w:wordWrap/>
              <w:overflowPunct/>
              <w:topLinePunct w:val="0"/>
              <w:autoSpaceDE/>
              <w:autoSpaceDN/>
              <w:bidi w:val="0"/>
              <w:adjustRightInd/>
              <w:jc w:val="center"/>
              <w:rPr>
                <w:rFonts w:hint="eastAsia" w:ascii="宋体" w:hAnsi="宋体" w:eastAsia="宋体" w:cs="宋体"/>
                <w:kern w:val="0"/>
                <w:sz w:val="18"/>
                <w:szCs w:val="18"/>
                <w:lang w:bidi="ar"/>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FCEF993">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val="en-US" w:eastAsia="zh-CN" w:bidi="ar"/>
              </w:rPr>
            </w:pPr>
            <w:r>
              <w:rPr>
                <w:rFonts w:hint="eastAsia" w:ascii="宋体" w:hAnsi="宋体" w:eastAsia="宋体" w:cs="宋体"/>
                <w:kern w:val="0"/>
                <w:sz w:val="18"/>
                <w:szCs w:val="18"/>
                <w:lang w:bidi="ar"/>
              </w:rPr>
              <w:t>GAP</w:t>
            </w:r>
            <w:r>
              <w:rPr>
                <w:rFonts w:hint="eastAsia" w:ascii="宋体" w:hAnsi="宋体" w:cs="宋体"/>
                <w:kern w:val="0"/>
                <w:sz w:val="18"/>
                <w:szCs w:val="18"/>
                <w:lang w:val="en-US" w:eastAsia="zh-CN" w:bidi="ar"/>
              </w:rPr>
              <w:t>*</w:t>
            </w:r>
          </w:p>
        </w:tc>
        <w:tc>
          <w:tcPr>
            <w:tcW w:w="23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07C83C">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1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418278">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8816B6">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eastAsia="zh-CN" w:bidi="ar"/>
              </w:rPr>
            </w:pPr>
            <w:r>
              <w:rPr>
                <w:rFonts w:hint="eastAsia" w:ascii="宋体" w:hAnsi="宋体" w:eastAsia="宋体" w:cs="Times New Roman"/>
                <w:i w:val="0"/>
                <w:iCs w:val="0"/>
                <w:color w:val="auto"/>
                <w:kern w:val="0"/>
                <w:sz w:val="18"/>
                <w:szCs w:val="18"/>
                <w:u w:val="none"/>
                <w:lang w:val="en-US" w:eastAsia="zh-CN" w:bidi="ar"/>
              </w:rPr>
              <w:t>GAP备案</w:t>
            </w:r>
            <w:r>
              <w:rPr>
                <w:rFonts w:hint="eastAsia" w:ascii="宋体" w:hAnsi="宋体" w:cs="Times New Roman"/>
                <w:i w:val="0"/>
                <w:iCs w:val="0"/>
                <w:color w:val="auto"/>
                <w:kern w:val="0"/>
                <w:sz w:val="18"/>
                <w:szCs w:val="18"/>
                <w:u w:val="none"/>
                <w:lang w:val="en-US" w:eastAsia="zh-CN" w:bidi="ar"/>
              </w:rPr>
              <w:t>或</w:t>
            </w:r>
            <w:r>
              <w:rPr>
                <w:rFonts w:hint="eastAsia" w:ascii="宋体" w:hAnsi="宋体" w:eastAsia="宋体" w:cs="宋体"/>
                <w:bCs/>
                <w:color w:val="auto"/>
                <w:sz w:val="18"/>
                <w:szCs w:val="18"/>
                <w:lang w:val="en-US" w:eastAsia="zh-CN"/>
              </w:rPr>
              <w:t>延伸</w:t>
            </w:r>
            <w:r>
              <w:rPr>
                <w:rFonts w:hint="eastAsia" w:ascii="宋体" w:hAnsi="宋体" w:cs="宋体"/>
                <w:bCs/>
                <w:color w:val="auto"/>
                <w:sz w:val="18"/>
                <w:szCs w:val="18"/>
                <w:lang w:val="en-US" w:eastAsia="zh-CN"/>
              </w:rPr>
              <w:t>审查通过</w:t>
            </w:r>
          </w:p>
        </w:tc>
      </w:tr>
      <w:tr w14:paraId="1D7CBF54">
        <w:tblPrEx>
          <w:tblCellMar>
            <w:top w:w="0" w:type="dxa"/>
            <w:left w:w="108" w:type="dxa"/>
            <w:bottom w:w="0" w:type="dxa"/>
            <w:right w:w="108" w:type="dxa"/>
          </w:tblCellMar>
        </w:tblPrEx>
        <w:trPr>
          <w:trHeight w:val="454" w:hRule="atLeast"/>
        </w:trPr>
        <w:tc>
          <w:tcPr>
            <w:tcW w:w="1696"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AED6D5">
            <w:pPr>
              <w:keepNext w:val="0"/>
              <w:keepLines w:val="0"/>
              <w:pageBreakBefore w:val="0"/>
              <w:kinsoku/>
              <w:wordWrap/>
              <w:overflowPunct/>
              <w:topLinePunct w:val="0"/>
              <w:autoSpaceDE/>
              <w:autoSpaceDN/>
              <w:bidi w:val="0"/>
              <w:adjustRightInd/>
              <w:jc w:val="center"/>
              <w:rPr>
                <w:rFonts w:hint="eastAsia" w:ascii="宋体" w:hAnsi="宋体" w:eastAsia="宋体" w:cs="宋体"/>
                <w:kern w:val="0"/>
                <w:sz w:val="18"/>
                <w:szCs w:val="18"/>
                <w:lang w:bidi="ar"/>
              </w:rPr>
            </w:pPr>
          </w:p>
        </w:tc>
        <w:tc>
          <w:tcPr>
            <w:tcW w:w="176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91B3AA">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道地药材*</w:t>
            </w:r>
          </w:p>
        </w:tc>
        <w:tc>
          <w:tcPr>
            <w:tcW w:w="2362"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27C25C">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1614"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A9711D">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w:t>
            </w:r>
          </w:p>
        </w:tc>
        <w:tc>
          <w:tcPr>
            <w:tcW w:w="2266"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920330">
            <w:pPr>
              <w:keepNext w:val="0"/>
              <w:keepLines w:val="0"/>
              <w:pageBreakBefore w:val="0"/>
              <w:widowControl/>
              <w:kinsoku/>
              <w:wordWrap/>
              <w:overflowPunct/>
              <w:topLinePunct w:val="0"/>
              <w:autoSpaceDE/>
              <w:autoSpaceDN/>
              <w:bidi w:val="0"/>
              <w:adjustRightInd/>
              <w:jc w:val="center"/>
              <w:textAlignment w:val="center"/>
              <w:rPr>
                <w:rFonts w:hint="eastAsia" w:ascii="宋体" w:hAnsi="宋体" w:eastAsia="宋体" w:cs="宋体"/>
                <w:kern w:val="0"/>
                <w:sz w:val="18"/>
                <w:szCs w:val="18"/>
                <w:lang w:bidi="ar"/>
              </w:rPr>
            </w:pPr>
            <w:r>
              <w:rPr>
                <w:rFonts w:hint="eastAsia" w:ascii="宋体" w:hAnsi="宋体" w:eastAsia="宋体" w:cs="宋体"/>
                <w:kern w:val="0"/>
                <w:sz w:val="18"/>
                <w:szCs w:val="18"/>
                <w:lang w:bidi="ar"/>
              </w:rPr>
              <w:t>道地药材认证</w:t>
            </w:r>
          </w:p>
        </w:tc>
      </w:tr>
    </w:tbl>
    <w:p w14:paraId="4A30680C">
      <w:pPr>
        <w:spacing w:before="157" w:beforeLines="50" w:after="157" w:afterLines="50"/>
        <w:rPr>
          <w:rFonts w:ascii="黑体" w:hAnsi="黑体" w:eastAsia="黑体"/>
          <w:bCs/>
          <w:color w:val="000000"/>
          <w:sz w:val="30"/>
          <w:szCs w:val="30"/>
        </w:rPr>
      </w:pPr>
      <w:r>
        <w:rPr>
          <w:rFonts w:ascii="黑体" w:hAnsi="黑体" w:eastAsia="黑体"/>
          <w:bCs/>
          <w:color w:val="000000"/>
          <w:sz w:val="30"/>
          <w:szCs w:val="30"/>
        </w:rPr>
        <w:br w:type="page"/>
      </w:r>
    </w:p>
    <w:p w14:paraId="3BB99716">
      <w:pPr>
        <w:pageBreakBefore w:val="0"/>
        <w:kinsoku/>
        <w:wordWrap/>
        <w:overflowPunct/>
        <w:topLinePunct w:val="0"/>
        <w:bidi w:val="0"/>
        <w:adjustRightInd/>
        <w:spacing w:before="157" w:beforeLines="50" w:after="157" w:afterLines="50"/>
        <w:jc w:val="center"/>
        <w:outlineLvl w:val="0"/>
        <w:rPr>
          <w:rFonts w:hint="eastAsia" w:ascii="黑体" w:hAnsi="黑体" w:eastAsia="黑体"/>
          <w:strike w:val="0"/>
          <w:color w:val="000000"/>
          <w:sz w:val="21"/>
          <w:szCs w:val="21"/>
          <w:highlight w:val="none"/>
          <w:lang w:val="en-US" w:eastAsia="zh-CN"/>
        </w:rPr>
      </w:pPr>
      <w:r>
        <w:rPr>
          <w:rFonts w:hint="eastAsia" w:ascii="黑体" w:hAnsi="黑体" w:eastAsia="黑体"/>
          <w:strike w:val="0"/>
          <w:color w:val="000000"/>
          <w:sz w:val="21"/>
          <w:szCs w:val="21"/>
          <w:highlight w:val="none"/>
          <w:lang w:val="en-US" w:eastAsia="zh-CN"/>
        </w:rPr>
        <w:t>附录A</w:t>
      </w:r>
    </w:p>
    <w:p w14:paraId="489F09CF">
      <w:pPr>
        <w:pStyle w:val="6"/>
        <w:snapToGrid/>
        <w:spacing w:before="157" w:beforeLines="50" w:after="157" w:afterLines="50"/>
        <w:jc w:val="center"/>
        <w:rPr>
          <w:rFonts w:hint="eastAsia" w:ascii="黑体" w:hAnsi="黑体" w:eastAsia="黑体"/>
          <w:strike w:val="0"/>
          <w:color w:val="000000"/>
          <w:sz w:val="21"/>
          <w:szCs w:val="21"/>
          <w:highlight w:val="none"/>
          <w:lang w:val="en-US" w:eastAsia="zh-CN"/>
        </w:rPr>
      </w:pPr>
      <w:r>
        <w:rPr>
          <w:rFonts w:hint="eastAsia" w:ascii="黑体" w:hAnsi="黑体" w:eastAsia="黑体"/>
          <w:strike w:val="0"/>
          <w:color w:val="000000"/>
          <w:sz w:val="21"/>
          <w:szCs w:val="21"/>
          <w:highlight w:val="none"/>
          <w:lang w:val="en-US" w:eastAsia="zh-CN"/>
        </w:rPr>
        <w:t>（规范性附录）</w:t>
      </w:r>
    </w:p>
    <w:p w14:paraId="16D19897">
      <w:pPr>
        <w:pStyle w:val="6"/>
        <w:snapToGrid/>
        <w:spacing w:before="157" w:beforeLines="50" w:after="157" w:afterLines="50"/>
        <w:jc w:val="center"/>
        <w:rPr>
          <w:rFonts w:hint="eastAsia" w:ascii="黑体" w:hAnsi="黑体" w:eastAsia="黑体"/>
          <w:strike w:val="0"/>
          <w:color w:val="000000"/>
          <w:sz w:val="21"/>
          <w:szCs w:val="21"/>
          <w:highlight w:val="none"/>
          <w:lang w:val="en-US" w:eastAsia="zh-CN"/>
        </w:rPr>
      </w:pPr>
      <w:r>
        <w:rPr>
          <w:rFonts w:hint="eastAsia" w:ascii="黑体" w:hAnsi="黑体" w:eastAsia="黑体"/>
          <w:strike w:val="0"/>
          <w:color w:val="000000"/>
          <w:sz w:val="21"/>
          <w:szCs w:val="21"/>
          <w:highlight w:val="none"/>
          <w:lang w:val="en-US" w:eastAsia="zh-CN"/>
        </w:rPr>
        <w:t>广肉桂集采交易规格等级性状图</w:t>
      </w:r>
    </w:p>
    <w:p w14:paraId="745B5708">
      <w:pPr>
        <w:pStyle w:val="6"/>
        <w:snapToGrid/>
        <w:spacing w:before="157" w:beforeLines="50" w:after="157" w:afterLines="50"/>
        <w:jc w:val="center"/>
        <w:rPr>
          <w:rFonts w:hint="eastAsia" w:ascii="黑体" w:hAnsi="黑体" w:eastAsia="黑体" w:cs="黑体"/>
          <w:strike/>
          <w:color w:val="000000"/>
          <w:sz w:val="21"/>
          <w:szCs w:val="21"/>
          <w:lang w:eastAsia="zh-CN"/>
        </w:rPr>
      </w:pPr>
      <w:r>
        <w:rPr>
          <w:rFonts w:hint="eastAsia" w:ascii="黑体" w:hAnsi="黑体" w:eastAsia="黑体" w:cs="黑体"/>
          <w:strike/>
          <w:color w:val="000000"/>
          <w:sz w:val="21"/>
          <w:szCs w:val="21"/>
          <w:lang w:eastAsia="zh-CN"/>
        </w:rPr>
        <w:drawing>
          <wp:inline distT="0" distB="0" distL="114300" distR="114300">
            <wp:extent cx="2759075" cy="4319905"/>
            <wp:effectExtent l="0" t="0" r="10795" b="9525"/>
            <wp:docPr id="9" name="图片 9" descr="95-肉桂（统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95-肉桂（统货）"/>
                    <pic:cNvPicPr>
                      <a:picLocks noChangeAspect="1"/>
                    </pic:cNvPicPr>
                  </pic:nvPicPr>
                  <pic:blipFill>
                    <a:blip r:embed="rId15"/>
                    <a:srcRect l="11007" r="3390" b="2367"/>
                    <a:stretch>
                      <a:fillRect/>
                    </a:stretch>
                  </pic:blipFill>
                  <pic:spPr>
                    <a:xfrm rot="5400000">
                      <a:off x="0" y="0"/>
                      <a:ext cx="2759075" cy="4319905"/>
                    </a:xfrm>
                    <a:prstGeom prst="rect">
                      <a:avLst/>
                    </a:prstGeom>
                  </pic:spPr>
                </pic:pic>
              </a:graphicData>
            </a:graphic>
          </wp:inline>
        </w:drawing>
      </w:r>
    </w:p>
    <w:p w14:paraId="0D29B1D4">
      <w:pPr>
        <w:pStyle w:val="6"/>
        <w:snapToGrid/>
        <w:spacing w:before="157" w:beforeLines="50" w:after="157" w:afterLines="50"/>
        <w:jc w:val="center"/>
        <w:rPr>
          <w:rFonts w:hint="default" w:ascii="黑体" w:hAnsi="黑体" w:eastAsia="黑体" w:cs="黑体"/>
          <w:bCs/>
          <w:color w:val="000000"/>
          <w:sz w:val="21"/>
          <w:szCs w:val="21"/>
          <w:lang w:val="en-US"/>
        </w:rPr>
      </w:pPr>
      <w:r>
        <w:rPr>
          <w:rFonts w:hint="eastAsia" w:ascii="黑体" w:hAnsi="黑体" w:eastAsia="黑体" w:cs="黑体"/>
          <w:bCs/>
          <w:color w:val="000000"/>
          <w:sz w:val="21"/>
          <w:szCs w:val="21"/>
          <w:lang w:val="en-US" w:eastAsia="zh-CN"/>
        </w:rPr>
        <w:t>图A1 广肉桂（统货）规格等级性状图</w:t>
      </w:r>
    </w:p>
    <w:p w14:paraId="6132F4EA">
      <w:pPr>
        <w:pStyle w:val="6"/>
        <w:snapToGrid/>
        <w:spacing w:before="157" w:beforeLines="50" w:after="157" w:afterLines="50"/>
        <w:jc w:val="center"/>
        <w:rPr>
          <w:rFonts w:hint="eastAsia" w:ascii="黑体" w:hAnsi="黑体" w:eastAsia="黑体"/>
          <w:bCs/>
          <w:color w:val="000000"/>
          <w:sz w:val="32"/>
          <w:szCs w:val="32"/>
        </w:rPr>
      </w:pPr>
      <w:r>
        <w:rPr>
          <w:rFonts w:hint="eastAsia" w:ascii="黑体" w:hAnsi="黑体" w:eastAsia="黑体"/>
          <w:strike/>
          <w:color w:val="000000"/>
          <w:szCs w:val="21"/>
          <w:lang w:eastAsia="zh-CN"/>
        </w:rPr>
        <w:drawing>
          <wp:inline distT="0" distB="0" distL="114300" distR="114300">
            <wp:extent cx="2157095" cy="4319905"/>
            <wp:effectExtent l="0" t="0" r="10795" b="1905"/>
            <wp:docPr id="17" name="图片 17" descr="95-肉桂（选货）"/>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95-肉桂（选货）"/>
                    <pic:cNvPicPr>
                      <a:picLocks noChangeAspect="1"/>
                    </pic:cNvPicPr>
                  </pic:nvPicPr>
                  <pic:blipFill>
                    <a:blip r:embed="rId16"/>
                    <a:srcRect l="23230" r="3858" b="2646"/>
                    <a:stretch>
                      <a:fillRect/>
                    </a:stretch>
                  </pic:blipFill>
                  <pic:spPr>
                    <a:xfrm rot="5400000">
                      <a:off x="0" y="0"/>
                      <a:ext cx="2157095" cy="4319905"/>
                    </a:xfrm>
                    <a:prstGeom prst="rect">
                      <a:avLst/>
                    </a:prstGeom>
                  </pic:spPr>
                </pic:pic>
              </a:graphicData>
            </a:graphic>
          </wp:inline>
        </w:drawing>
      </w:r>
      <w:r>
        <w:rPr>
          <w:rFonts w:hint="eastAsia" w:ascii="黑体" w:hAnsi="黑体" w:eastAsia="黑体"/>
          <w:bCs/>
          <w:color w:val="000000"/>
          <w:sz w:val="32"/>
          <w:szCs w:val="32"/>
        </w:rPr>
        <w:t xml:space="preserve"> </w:t>
      </w:r>
    </w:p>
    <w:p w14:paraId="0865B84D">
      <w:pPr>
        <w:pStyle w:val="6"/>
        <w:snapToGrid/>
        <w:spacing w:before="157" w:beforeLines="50" w:after="157" w:afterLines="50"/>
        <w:jc w:val="center"/>
        <w:rPr>
          <w:rFonts w:hint="default" w:ascii="黑体" w:hAnsi="黑体" w:eastAsia="黑体"/>
          <w:bCs/>
          <w:color w:val="000000"/>
          <w:sz w:val="21"/>
          <w:szCs w:val="21"/>
          <w:lang w:val="en-US" w:eastAsia="zh-CN"/>
        </w:rPr>
      </w:pPr>
      <w:r>
        <w:rPr>
          <w:rFonts w:hint="eastAsia" w:ascii="黑体" w:hAnsi="黑体" w:eastAsia="黑体"/>
          <w:bCs/>
          <w:color w:val="000000"/>
          <w:sz w:val="21"/>
          <w:szCs w:val="21"/>
          <w:lang w:val="en-US" w:eastAsia="zh-CN"/>
        </w:rPr>
        <w:t>图A2 肉桂（选货）规格等级性状图</w:t>
      </w:r>
    </w:p>
    <w:p w14:paraId="6307EDB3">
      <w:pPr>
        <w:pStyle w:val="6"/>
        <w:snapToGrid/>
        <w:spacing w:before="157" w:beforeLines="50" w:after="157" w:afterLines="50"/>
        <w:jc w:val="center"/>
        <w:rPr>
          <w:rFonts w:ascii="黑体" w:hAnsi="黑体" w:eastAsia="黑体"/>
          <w:bCs/>
          <w:color w:val="000000"/>
          <w:sz w:val="32"/>
          <w:szCs w:val="32"/>
        </w:rPr>
      </w:pPr>
    </w:p>
    <w:bookmarkEnd w:id="20"/>
    <w:p w14:paraId="1D77CE07">
      <w:pPr>
        <w:spacing w:before="157" w:beforeLines="50" w:after="157" w:afterLines="50"/>
        <w:jc w:val="center"/>
        <w:outlineLvl w:val="0"/>
        <w:rPr>
          <w:rFonts w:ascii="黑体" w:hAnsi="黑体" w:eastAsia="黑体"/>
          <w:strike/>
          <w:color w:val="000000"/>
          <w:szCs w:val="21"/>
        </w:rPr>
      </w:pPr>
      <w:bookmarkStart w:id="23" w:name="_Toc29162"/>
      <w:bookmarkStart w:id="24" w:name="_Toc17181"/>
      <w:bookmarkStart w:id="25" w:name="_Toc23232"/>
      <w:bookmarkStart w:id="26" w:name="_Toc5990"/>
      <w:bookmarkStart w:id="27" w:name="_Toc5517"/>
      <w:bookmarkStart w:id="28" w:name="_Toc25235"/>
      <w:bookmarkStart w:id="29" w:name="_Toc501701529"/>
    </w:p>
    <w:p w14:paraId="072C26C0">
      <w:pPr>
        <w:spacing w:before="157" w:beforeLines="50" w:after="157" w:afterLines="50"/>
        <w:jc w:val="center"/>
        <w:outlineLvl w:val="0"/>
        <w:rPr>
          <w:rFonts w:hint="eastAsia" w:ascii="黑体" w:hAnsi="黑体" w:eastAsia="黑体"/>
          <w:strike/>
          <w:color w:val="000000"/>
          <w:szCs w:val="21"/>
          <w:lang w:eastAsia="zh-CN"/>
        </w:rPr>
      </w:pPr>
    </w:p>
    <w:bookmarkEnd w:id="23"/>
    <w:bookmarkEnd w:id="24"/>
    <w:bookmarkEnd w:id="25"/>
    <w:bookmarkEnd w:id="26"/>
    <w:bookmarkEnd w:id="27"/>
    <w:bookmarkEnd w:id="28"/>
    <w:p w14:paraId="26321334">
      <w:pPr>
        <w:pStyle w:val="4"/>
        <w:spacing w:before="157" w:beforeLines="50" w:after="157" w:afterLines="50" w:line="240" w:lineRule="auto"/>
        <w:ind w:firstLine="560"/>
        <w:sectPr>
          <w:headerReference r:id="rId9" w:type="default"/>
          <w:footerReference r:id="rId10" w:type="default"/>
          <w:footerReference r:id="rId11" w:type="even"/>
          <w:pgSz w:w="11905" w:h="16840"/>
          <w:pgMar w:top="1700" w:right="1020" w:bottom="1300" w:left="1180" w:header="1448" w:footer="1113" w:gutter="0"/>
          <w:pgNumType w:start="1"/>
          <w:cols w:space="720" w:num="1"/>
        </w:sectPr>
      </w:pPr>
    </w:p>
    <w:bookmarkEnd w:id="29"/>
    <w:p w14:paraId="615AB67B">
      <w:pPr>
        <w:tabs>
          <w:tab w:val="center" w:pos="0"/>
          <w:tab w:val="center" w:pos="4201"/>
          <w:tab w:val="right" w:leader="dot" w:pos="9298"/>
        </w:tabs>
        <w:spacing w:before="157" w:beforeLines="50" w:after="157" w:afterLines="50"/>
        <w:jc w:val="center"/>
        <w:outlineLvl w:val="0"/>
        <w:rPr>
          <w:rFonts w:ascii="黑体" w:hAnsi="黑体" w:eastAsia="黑体" w:cs="宋体"/>
          <w:szCs w:val="21"/>
        </w:rPr>
      </w:pPr>
      <w:bookmarkStart w:id="30" w:name="_Toc7443"/>
      <w:bookmarkStart w:id="31" w:name="_Toc15722"/>
      <w:bookmarkStart w:id="32" w:name="_Toc9701"/>
      <w:bookmarkStart w:id="33" w:name="_Toc30293"/>
      <w:bookmarkStart w:id="34" w:name="_Toc16858"/>
      <w:bookmarkStart w:id="35" w:name="_Toc27406"/>
      <w:bookmarkStart w:id="36" w:name="_Toc25047693"/>
      <w:bookmarkStart w:id="37" w:name="_Toc26118"/>
      <w:r>
        <w:rPr>
          <w:rFonts w:hint="eastAsia" w:ascii="黑体" w:hAnsi="黑体" w:eastAsia="黑体" w:cs="宋体"/>
          <w:szCs w:val="21"/>
        </w:rPr>
        <w:t>参考文献</w:t>
      </w:r>
      <w:bookmarkEnd w:id="30"/>
      <w:bookmarkEnd w:id="31"/>
      <w:bookmarkEnd w:id="32"/>
      <w:bookmarkEnd w:id="33"/>
      <w:bookmarkEnd w:id="34"/>
      <w:bookmarkEnd w:id="35"/>
      <w:bookmarkEnd w:id="36"/>
      <w:bookmarkEnd w:id="37"/>
    </w:p>
    <w:p w14:paraId="47380C5E">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[1] 全国人民代表大会常务委员会.中华人民共和国中医药法[M].北京:法律出版社,2017.</w:t>
      </w:r>
    </w:p>
    <w:p w14:paraId="434801D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[2] 国家药典委员会.中华人民共和国药典[M].北京:中国医药科技出版社,2020.</w:t>
      </w:r>
    </w:p>
    <w:p w14:paraId="30778586">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[3] 黄璐琦,郭兰萍,詹志来,等.中药材商品规格等级标准编制通则[S].北京:中国医药科技出社,2018.</w:t>
      </w:r>
    </w:p>
    <w:p w14:paraId="5171F698">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[4] 彭成.中华道地药材[M].中国中医药出版社,2013.</w:t>
      </w:r>
    </w:p>
    <w:p w14:paraId="26396771">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[5] 肖小河,黄璐琦.中药材商品规格标准化研究[M].人民卫生出版社,2016.</w:t>
      </w:r>
    </w:p>
    <w:p w14:paraId="146EB6E1">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[6] 黄璐琦,詹志来,郭兰萍,等.中药材商品规格等级标准汇编[G].中国中医药出版社,2019.</w:t>
      </w:r>
    </w:p>
    <w:p w14:paraId="3023EEEF">
      <w:pPr>
        <w:keepNext w:val="0"/>
        <w:keepLines w:val="0"/>
        <w:pageBreakBefore w:val="0"/>
        <w:widowControl w:val="0"/>
        <w:tabs>
          <w:tab w:val="left" w:pos="6408"/>
        </w:tabs>
        <w:kinsoku/>
        <w:wordWrap/>
        <w:overflowPunct/>
        <w:topLinePunct w:val="0"/>
        <w:autoSpaceDE/>
        <w:autoSpaceDN/>
        <w:bidi w:val="0"/>
        <w:adjustRightInd/>
        <w:snapToGrid/>
        <w:jc w:val="left"/>
        <w:textAlignment w:val="auto"/>
        <w:rPr>
          <w:rFonts w:hint="eastAsia" w:ascii="宋体" w:hAnsi="宋体" w:eastAsia="宋体" w:cs="宋体"/>
          <w:color w:val="000000" w:themeColor="text1"/>
          <w14:textFill>
            <w14:solidFill>
              <w14:schemeClr w14:val="tx1"/>
            </w14:solidFill>
          </w14:textFill>
        </w:rPr>
      </w:pPr>
      <w:r>
        <w:rPr>
          <w:rFonts w:hint="eastAsia" w:ascii="宋体" w:hAnsi="宋体" w:eastAsia="宋体" w:cs="宋体"/>
          <w:color w:val="000000" w:themeColor="text1"/>
          <w14:textFill>
            <w14:solidFill>
              <w14:schemeClr w14:val="tx1"/>
            </w14:solidFill>
          </w14:textFill>
        </w:rPr>
        <w:t>[7] 黄璐琦.道地药材品质保证技术研究[M].上海科学技术出版社,2017.</w:t>
      </w:r>
    </w:p>
    <w:p w14:paraId="219650DA">
      <w:pPr>
        <w:keepNext w:val="0"/>
        <w:keepLines w:val="0"/>
        <w:pageBreakBefore w:val="0"/>
        <w:widowControl w:val="0"/>
        <w:tabs>
          <w:tab w:val="center" w:pos="0"/>
          <w:tab w:val="center" w:pos="4201"/>
          <w:tab w:val="right" w:leader="dot" w:pos="9298"/>
        </w:tabs>
        <w:kinsoku/>
        <w:wordWrap/>
        <w:overflowPunct/>
        <w:topLinePunct w:val="0"/>
        <w:autoSpaceDE/>
        <w:autoSpaceDN/>
        <w:bidi w:val="0"/>
        <w:adjustRightInd/>
        <w:snapToGrid/>
        <w:spacing w:line="240" w:lineRule="auto"/>
        <w:jc w:val="left"/>
        <w:textAlignment w:val="auto"/>
        <w:rPr>
          <w:rFonts w:hint="eastAsia" w:ascii="宋体" w:hAnsi="宋体"/>
          <w:color w:val="auto"/>
        </w:rPr>
      </w:pPr>
      <w:r>
        <w:rPr>
          <w:rFonts w:hint="eastAsia" w:ascii="宋体" w:hAnsi="宋体" w:eastAsia="宋体" w:cs="宋体"/>
          <w:color w:val="000000" w:themeColor="text1"/>
          <w14:textFill>
            <w14:solidFill>
              <w14:schemeClr w14:val="tx1"/>
            </w14:solidFill>
          </w14:textFill>
        </w:rPr>
        <w:t>[8] 黄璐琦.《新编中国药材学》[M].中国医药科技出版社,2020.</w:t>
      </w:r>
      <w:r>
        <w:rPr>
          <w:rFonts w:hint="eastAsia" w:ascii="宋体" w:hAnsi="宋体"/>
          <w:color w:val="auto"/>
        </w:rPr>
        <mc:AlternateContent>
          <mc:Choice Requires="wps">
            <w:drawing>
              <wp:anchor distT="0" distB="0" distL="114300" distR="114300" simplePos="0" relativeHeight="251668480" behindDoc="0" locked="0" layoutInCell="1" allowOverlap="1">
                <wp:simplePos x="0" y="0"/>
                <wp:positionH relativeFrom="column">
                  <wp:posOffset>1309370</wp:posOffset>
                </wp:positionH>
                <wp:positionV relativeFrom="paragraph">
                  <wp:posOffset>648335</wp:posOffset>
                </wp:positionV>
                <wp:extent cx="2857500" cy="0"/>
                <wp:effectExtent l="0" t="7620" r="0" b="11430"/>
                <wp:wrapNone/>
                <wp:docPr id="1" name="直接箭头连接符 1"/>
                <wp:cNvGraphicFramePr/>
                <a:graphic xmlns:a="http://schemas.openxmlformats.org/drawingml/2006/main">
                  <a:graphicData uri="http://schemas.microsoft.com/office/word/2010/wordprocessingShape">
                    <wps:wsp>
                      <wps:cNvCnPr/>
                      <wps:spPr>
                        <a:xfrm>
                          <a:off x="0" y="0"/>
                          <a:ext cx="2857500" cy="0"/>
                        </a:xfrm>
                        <a:prstGeom prst="straightConnector1">
                          <a:avLst/>
                        </a:prstGeom>
                        <a:ln w="1587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3.1pt;margin-top:51.05pt;height:0pt;width:225pt;z-index:251668480;mso-width-relative:page;mso-height-relative:page;" filled="f" stroked="t" coordsize="21600,21600" o:gfxdata="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0QZUn1gAAAAsBAAAPAAAAAAAAAAEAIAAAACIAAABkcnMvZG93bnJldi54&#10;bWxQSwECFAAUAAAACACHTuJAshI6vPwBAADtAwAADgAAAAAAAAABACAAAAAlAQAAZHJzL2Uyb0Rv&#10;Yy54bWxQSwUGAAAAAAYABgBZAQAAkwUAAAAA&#10;">
                <v:fill on="f" focussize="0,0"/>
                <v:stroke weight="1.25pt" color="#000000" joinstyle="round"/>
                <v:imagedata o:title=""/>
                <o:lock v:ext="edit" aspectratio="f"/>
              </v:shape>
            </w:pict>
          </mc:Fallback>
        </mc:AlternateContent>
      </w:r>
    </w:p>
    <w:p w14:paraId="65E2941E">
      <w:pPr>
        <w:pageBreakBefore w:val="0"/>
        <w:kinsoku/>
        <w:wordWrap/>
        <w:overflowPunct/>
        <w:topLinePunct w:val="0"/>
        <w:autoSpaceDE/>
        <w:autoSpaceDN/>
        <w:bidi w:val="0"/>
        <w:adjustRightInd/>
        <w:snapToGrid/>
        <w:spacing w:before="157" w:beforeLines="50" w:after="157" w:afterLines="50" w:line="240" w:lineRule="auto"/>
        <w:rPr>
          <w:highlight w:val="none"/>
        </w:rPr>
      </w:pPr>
    </w:p>
    <w:p w14:paraId="6D7B0F48">
      <w:pPr>
        <w:tabs>
          <w:tab w:val="left" w:pos="6408"/>
        </w:tabs>
        <w:spacing w:before="157" w:beforeLines="50" w:after="157" w:afterLines="50"/>
        <w:jc w:val="left"/>
      </w:pPr>
      <w:r>
        <w:rPr>
          <w:rFonts w:hint="eastAsia"/>
        </w:rPr>
        <w:tab/>
      </w:r>
    </w:p>
    <w:p w14:paraId="487BA3CE">
      <w:pPr>
        <w:spacing w:before="157" w:beforeLines="50" w:after="157" w:afterLines="50"/>
      </w:pPr>
    </w:p>
    <w:sectPr>
      <w:footerReference r:id="rId12" w:type="default"/>
      <w:footerReference r:id="rId13" w:type="even"/>
      <w:pgSz w:w="11906" w:h="16838"/>
      <w:pgMar w:top="1417" w:right="1134" w:bottom="1134" w:left="1417" w:header="850"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D3384">
    <w:pPr>
      <w:pStyle w:val="6"/>
      <w:ind w:firstLine="360"/>
      <w:jc w:val="right"/>
    </w:pPr>
    <w:r>
      <w:fldChar w:fldCharType="begin"/>
    </w:r>
    <w:r>
      <w:instrText xml:space="preserve"> PAGE   \* MERGEFORMAT </w:instrText>
    </w:r>
    <w:r>
      <w:fldChar w:fldCharType="separate"/>
    </w:r>
    <w:r>
      <w:rPr>
        <w:lang w:val="zh-CN"/>
      </w:rPr>
      <w:t>III</w:t>
    </w:r>
    <w:r>
      <w:rPr>
        <w:lang w:val="zh-CN"/>
      </w:rPr>
      <w:fldChar w:fldCharType="end"/>
    </w:r>
  </w:p>
  <w:p w14:paraId="7721A3E3">
    <w:pPr>
      <w:pStyle w:val="6"/>
      <w:ind w:left="-283" w:leftChars="-135"/>
      <w:jc w:val="right"/>
    </w:pPr>
  </w:p>
  <w:p w14:paraId="6C91C19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FA4D39">
    <w:pPr>
      <w:pStyle w:val="6"/>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16</w:t>
    </w:r>
    <w:r>
      <w:rPr>
        <w:rFonts w:ascii="宋体" w:hAnsi="宋体"/>
      </w:rPr>
      <w:fldChar w:fldCharType="end"/>
    </w:r>
  </w:p>
  <w:p w14:paraId="49E70D18">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9DD65">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46D83">
    <w:pPr>
      <w:pStyle w:val="6"/>
      <w:ind w:firstLine="360"/>
      <w:jc w:val="right"/>
    </w:pPr>
    <w:r>
      <w:fldChar w:fldCharType="begin"/>
    </w:r>
    <w:r>
      <w:instrText xml:space="preserve"> PAGE   \* MERGEFORMAT </w:instrText>
    </w:r>
    <w:r>
      <w:fldChar w:fldCharType="separate"/>
    </w:r>
    <w:r>
      <w:rPr>
        <w:lang w:val="zh-CN"/>
      </w:rPr>
      <w:t>5</w:t>
    </w:r>
    <w:r>
      <w:rPr>
        <w:lang w:val="zh-CN"/>
      </w:rPr>
      <w:fldChar w:fldCharType="end"/>
    </w:r>
  </w:p>
  <w:p w14:paraId="1C4CAC67">
    <w:pPr>
      <w:pStyle w:val="6"/>
      <w:ind w:left="-283" w:leftChars="-135"/>
      <w:jc w:val="right"/>
    </w:pPr>
  </w:p>
  <w:p w14:paraId="6A6476A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86DC5">
    <w:pPr>
      <w:pStyle w:val="6"/>
      <w:rPr>
        <w:rFonts w:ascii="宋体" w:hAnsi="宋体"/>
      </w:rPr>
    </w:pPr>
    <w:r>
      <w:rPr>
        <w:rFonts w:ascii="宋体" w:hAnsi="宋体"/>
      </w:rPr>
      <w:fldChar w:fldCharType="begin"/>
    </w:r>
    <w:r>
      <w:rPr>
        <w:rFonts w:ascii="宋体" w:hAnsi="宋体"/>
      </w:rPr>
      <w:instrText xml:space="preserve">PAGE   \* MERGEFORMAT</w:instrText>
    </w:r>
    <w:r>
      <w:rPr>
        <w:rFonts w:ascii="宋体" w:hAnsi="宋体"/>
      </w:rPr>
      <w:fldChar w:fldCharType="separate"/>
    </w:r>
    <w:r>
      <w:rPr>
        <w:rFonts w:ascii="宋体" w:hAnsi="宋体"/>
        <w:lang w:val="zh-CN"/>
      </w:rPr>
      <w:t>6</w:t>
    </w:r>
    <w:r>
      <w:rPr>
        <w:rFonts w:ascii="宋体" w:hAnsi="宋体"/>
        <w:lang w:val="zh-CN"/>
      </w:rPr>
      <w:fldChar w:fldCharType="end"/>
    </w:r>
  </w:p>
  <w:p w14:paraId="35E8AC1A">
    <w:pPr>
      <w:pStyle w:val="6"/>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8454CB">
    <w:pPr>
      <w:spacing w:line="200" w:lineRule="exact"/>
      <w:rPr>
        <w:sz w:val="20"/>
        <w:szCs w:val="20"/>
      </w:rPr>
    </w:pPr>
    <w:r>
      <mc:AlternateContent>
        <mc:Choice Requires="wps">
          <w:drawing>
            <wp:anchor distT="0" distB="0" distL="114300" distR="114300" simplePos="0" relativeHeight="251665408" behindDoc="1" locked="0" layoutInCell="1" allowOverlap="1">
              <wp:simplePos x="0" y="0"/>
              <wp:positionH relativeFrom="page">
                <wp:posOffset>6507480</wp:posOffset>
              </wp:positionH>
              <wp:positionV relativeFrom="page">
                <wp:posOffset>9830435</wp:posOffset>
              </wp:positionV>
              <wp:extent cx="255270" cy="23495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55270" cy="234950"/>
                      </a:xfrm>
                      <a:prstGeom prst="rect">
                        <a:avLst/>
                      </a:prstGeom>
                      <a:noFill/>
                      <a:ln>
                        <a:noFill/>
                      </a:ln>
                    </wps:spPr>
                    <wps:txbx>
                      <w:txbxContent>
                        <w:p w14:paraId="1F23A342">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9</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74.05pt;height:18.5pt;width:20.1pt;mso-position-horizontal-relative:page;mso-position-vertical-relative:page;z-index:-251651072;mso-width-relative:page;mso-height-relative:page;" filled="f" stroked="f" coordsize="21600,21600" o:gfxdata="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bCiNzbAAAADwEAAA8AAAAAAAAAAQAgAAAAIgAAAGRycy9kb3ducmV2LnhtbFBL&#10;AQIUABQAAAAIAIdO4kBQShuEugEAAHEDAAAOAAAAAAAAAAEAIAAAACoBAABkcnMvZTJvRG9jLnht&#10;bFBLBQYAAAAABgAGAFkBAABWBQAAAAA=&#10;">
              <v:fill on="f" focussize="0,0"/>
              <v:stroke on="f"/>
              <v:imagedata o:title=""/>
              <o:lock v:ext="edit" aspectratio="f"/>
              <v:textbox inset="0mm,0mm,0mm,0mm">
                <w:txbxContent>
                  <w:p w14:paraId="1F23A342">
                    <w:pPr>
                      <w:spacing w:line="200" w:lineRule="exact"/>
                      <w:ind w:left="40"/>
                      <w:jc w:val="left"/>
                      <w:rPr>
                        <w:rFonts w:ascii="宋体" w:hAnsi="宋体" w:cs="宋体"/>
                        <w:sz w:val="18"/>
                        <w:szCs w:val="18"/>
                      </w:rPr>
                    </w:pPr>
                    <w:r>
                      <w:fldChar w:fldCharType="begin"/>
                    </w:r>
                    <w:r>
                      <w:rPr>
                        <w:rFonts w:ascii="宋体" w:hAnsi="宋体" w:cs="宋体"/>
                        <w:sz w:val="18"/>
                        <w:szCs w:val="18"/>
                      </w:rPr>
                      <w:instrText xml:space="preserve"> PAGE </w:instrText>
                    </w:r>
                    <w:r>
                      <w:fldChar w:fldCharType="separate"/>
                    </w:r>
                    <w:r>
                      <w:rPr>
                        <w:rFonts w:ascii="宋体" w:hAnsi="宋体" w:cs="宋体"/>
                        <w:sz w:val="18"/>
                        <w:szCs w:val="18"/>
                      </w:rPr>
                      <w:t>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9349989"/>
    </w:sdtPr>
    <w:sdtContent>
      <w:p w14:paraId="2E36D279">
        <w:pPr>
          <w:pStyle w:val="6"/>
        </w:pPr>
        <w:r>
          <w:fldChar w:fldCharType="begin"/>
        </w:r>
        <w:r>
          <w:instrText xml:space="preserve">PAGE   \* MERGEFORMAT</w:instrText>
        </w:r>
        <w:r>
          <w:fldChar w:fldCharType="separate"/>
        </w:r>
        <w:r>
          <w:rPr>
            <w:lang w:val="zh-CN"/>
          </w:rPr>
          <w:t>8</w:t>
        </w:r>
        <w:r>
          <w:fldChar w:fldCharType="end"/>
        </w:r>
      </w:p>
    </w:sdtContent>
  </w:sdt>
  <w:p w14:paraId="27AB18A9">
    <w:pPr>
      <w:spacing w:line="200" w:lineRule="exact"/>
      <w:rPr>
        <w:sz w:val="20"/>
        <w:szCs w:val="20"/>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FF2E11">
    <w:pPr>
      <w:pStyle w:val="20"/>
      <w:rPr>
        <w:rFonts w:ascii="黑体" w:hAnsi="黑体" w:eastAsia="黑体"/>
        <w:sz w:val="21"/>
        <w:szCs w:val="21"/>
      </w:rPr>
    </w:pPr>
    <w:r>
      <w:rPr>
        <w:sz w:val="21"/>
      </w:rPr>
      <mc:AlternateContent>
        <mc:Choice Requires="wps">
          <w:drawing>
            <wp:anchor distT="0" distB="0" distL="114300" distR="114300" simplePos="0" relativeHeight="251662336" behindDoc="0" locked="0" layoutInCell="1" allowOverlap="1">
              <wp:simplePos x="0" y="0"/>
              <wp:positionH relativeFrom="margin">
                <wp:align>inside</wp:align>
              </wp:positionH>
              <wp:positionV relativeFrom="paragraph">
                <wp:posOffset>0</wp:posOffset>
              </wp:positionV>
              <wp:extent cx="1828800" cy="1828800"/>
              <wp:effectExtent l="0" t="0" r="0" b="0"/>
              <wp:wrapNone/>
              <wp:docPr id="4" name="Text Box 4"/>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14:paraId="519451BD">
                          <w:pPr>
                            <w:pStyle w:val="7"/>
                          </w:pPr>
                          <w:r>
                            <w:fldChar w:fldCharType="begin"/>
                          </w:r>
                          <w:r>
                            <w:instrText xml:space="preserve"> PAGE  \* MERGEFORMAT </w:instrText>
                          </w:r>
                          <w:r>
                            <w:fldChar w:fldCharType="separate"/>
                          </w:r>
                          <w:r>
                            <w:t>I</w:t>
                          </w:r>
                          <w:r>
                            <w:fldChar w:fldCharType="end"/>
                          </w:r>
                        </w:p>
                      </w:txbxContent>
                    </wps:txbx>
                    <wps:bodyPr rot="0" vert="horz" wrap="none" lIns="0" tIns="0" rIns="0" bIns="0" anchor="t" anchorCtr="0" upright="1">
                      <a:spAutoFit/>
                    </wps:bodyPr>
                  </wps:wsp>
                </a:graphicData>
              </a:graphic>
            </wp:anchor>
          </w:drawing>
        </mc:Choice>
        <mc:Fallback>
          <w:pict>
            <v:shape id="Text Box 4" o:spid="_x0000_s1026" o:spt="202" type="#_x0000_t202" style="position:absolute;left:0pt;margin-top:0pt;height:144pt;width:144pt;mso-position-horizontal:inside;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O&#10;qXm5zwAAAAUBAAAPAAAAAAAAAAEAIAAAACIAAABkcnMvZG93bnJldi54bWxQSwECFAAUAAAACACH&#10;TuJAfIm5D/QBAAADBAAADgAAAAAAAAABACAAAAAeAQAAZHJzL2Uyb0RvYy54bWxQSwUGAAAAAAYA&#10;BgBZAQAAhAUAAAAA&#10;">
              <v:fill on="f" focussize="0,0"/>
              <v:stroke on="f"/>
              <v:imagedata o:title=""/>
              <o:lock v:ext="edit" aspectratio="f"/>
              <v:textbox inset="0mm,0mm,0mm,0mm" style="mso-fit-shape-to-text:t;">
                <w:txbxContent>
                  <w:p w14:paraId="519451BD">
                    <w:pPr>
                      <w:pStyle w:val="7"/>
                    </w:pPr>
                    <w:r>
                      <w:fldChar w:fldCharType="begin"/>
                    </w:r>
                    <w:r>
                      <w:instrText xml:space="preserve"> PAGE  \* MERGEFORMAT </w:instrText>
                    </w:r>
                    <w:r>
                      <w:fldChar w:fldCharType="separate"/>
                    </w:r>
                    <w:r>
                      <w:t>I</w:t>
                    </w:r>
                    <w:r>
                      <w:fldChar w:fldCharType="end"/>
                    </w:r>
                  </w:p>
                </w:txbxContent>
              </v:textbox>
            </v:shape>
          </w:pict>
        </mc:Fallback>
      </mc:AlternateContent>
    </w:r>
    <w:r>
      <w:rPr>
        <w:rFonts w:ascii="黑体" w:hAnsi="黑体" w:eastAsia="黑体"/>
        <w:sz w:val="21"/>
        <w:szCs w:val="21"/>
      </w:rPr>
      <w:t xml:space="preserve">RB </w:t>
    </w:r>
    <w:r>
      <w:rPr>
        <w:rFonts w:hint="eastAsia" w:ascii="黑体" w:hAnsi="黑体" w:eastAsia="黑体"/>
        <w:sz w:val="21"/>
        <w:szCs w:val="21"/>
      </w:rPr>
      <w:t>石斛石斛</w:t>
    </w:r>
    <w:r>
      <w:rPr>
        <w:rFonts w:ascii="黑体" w:hAnsi="黑体" w:eastAsia="黑体"/>
        <w:sz w:val="21"/>
        <w:szCs w:val="21"/>
      </w:rPr>
      <w:t>X—</w:t>
    </w:r>
    <w:r>
      <w:rPr>
        <w:rFonts w:hint="eastAsia" w:ascii="黑体" w:hAnsi="黑体" w:eastAsia="黑体"/>
        <w:sz w:val="21"/>
        <w:szCs w:val="21"/>
      </w:rPr>
      <w:t>石斛石斛</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B8BD2">
    <w:pPr>
      <w:pStyle w:val="7"/>
      <w:pBdr>
        <w:bottom w:val="none" w:color="auto" w:sz="0" w:space="1"/>
      </w:pBdr>
      <w:jc w:val="left"/>
    </w:pPr>
    <w:r>
      <w:rPr>
        <w:rFonts w:hint="eastAsia" w:ascii="黑体" w:hAnsi="黑体" w:eastAsia="黑体"/>
        <w:sz w:val="21"/>
        <w:szCs w:val="21"/>
      </w:rPr>
      <w:t>T/ZGXCFZXH</w:t>
    </w:r>
    <w:r>
      <w:rPr>
        <w:rFonts w:ascii="黑体" w:hAnsi="黑体" w:eastAsia="黑体"/>
        <w:sz w:val="21"/>
        <w:szCs w:val="21"/>
      </w:rPr>
      <w:t xml:space="preserve"> </w:t>
    </w:r>
    <w:r>
      <w:rPr>
        <w:rFonts w:hint="eastAsia" w:ascii="黑体" w:hAnsi="黑体" w:eastAsia="黑体"/>
        <w:sz w:val="21"/>
        <w:szCs w:val="21"/>
      </w:rPr>
      <w:t>0001.</w:t>
    </w:r>
    <w:r>
      <w:rPr>
        <w:rFonts w:hint="eastAsia" w:ascii="黑体" w:hAnsi="黑体" w:eastAsia="黑体"/>
        <w:sz w:val="21"/>
        <w:szCs w:val="21"/>
        <w:lang w:val="en-US" w:eastAsia="zh-CN"/>
      </w:rPr>
      <w:t>24</w:t>
    </w:r>
    <w:r>
      <w:rPr>
        <w:rFonts w:hint="eastAsia" w:ascii="黑体" w:hAnsi="黑体" w:eastAsia="黑体"/>
        <w:sz w:val="21"/>
        <w:szCs w:val="21"/>
      </w:rPr>
      <w:t>-2024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48D7E">
    <w:r>
      <mc:AlternateContent>
        <mc:Choice Requires="wps">
          <w:drawing>
            <wp:anchor distT="0" distB="0" distL="114300" distR="114300" simplePos="0" relativeHeight="251664384" behindDoc="0" locked="0" layoutInCell="1" allowOverlap="1">
              <wp:simplePos x="0" y="0"/>
              <wp:positionH relativeFrom="margin">
                <wp:align>inside</wp:align>
              </wp:positionH>
              <wp:positionV relativeFrom="paragraph">
                <wp:posOffset>0</wp:posOffset>
              </wp:positionV>
              <wp:extent cx="58420" cy="161925"/>
              <wp:effectExtent l="0" t="0" r="0" b="0"/>
              <wp:wrapNone/>
              <wp:docPr id="3" name="Text Box 1"/>
              <wp:cNvGraphicFramePr/>
              <a:graphic xmlns:a="http://schemas.openxmlformats.org/drawingml/2006/main">
                <a:graphicData uri="http://schemas.microsoft.com/office/word/2010/wordprocessingShape">
                  <wps:wsp>
                    <wps:cNvSpPr txBox="1">
                      <a:spLocks noChangeArrowheads="1"/>
                    </wps:cNvSpPr>
                    <wps:spPr bwMode="auto">
                      <a:xfrm>
                        <a:off x="0" y="0"/>
                        <a:ext cx="58420" cy="161925"/>
                      </a:xfrm>
                      <a:prstGeom prst="rect">
                        <a:avLst/>
                      </a:prstGeom>
                      <a:noFill/>
                      <a:ln>
                        <a:noFill/>
                      </a:ln>
                    </wps:spPr>
                    <wps:txbx>
                      <w:txbxContent>
                        <w:p w14:paraId="566FA1FE">
                          <w:pPr>
                            <w:pStyle w:val="7"/>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2.75pt;width:4.6pt;mso-position-horizontal:inside;mso-position-horizontal-relative:margin;mso-wrap-style:none;z-index:251664384;mso-width-relative:page;mso-height-relative:page;" filled="f" stroked="f" coordsize="21600,21600" o:gfxdata="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DicHeo0QAAAAIBAAAPAAAAAAAAAAEAIAAAACIAAABkcnMvZG93bnJldi54bWxQSwECFAAU&#10;AAAACACHTuJAI46PA/gBAAAABAAADgAAAAAAAAABACAAAAAgAQAAZHJzL2Uyb0RvYy54bWxQSwUG&#10;AAAAAAYABgBZAQAAigUAAAAA&#10;">
              <v:fill on="f" focussize="0,0"/>
              <v:stroke on="f"/>
              <v:imagedata o:title=""/>
              <o:lock v:ext="edit" aspectratio="f"/>
              <v:textbox inset="0mm,0mm,0mm,0mm" style="mso-fit-shape-to-text:t;">
                <w:txbxContent>
                  <w:p w14:paraId="566FA1FE">
                    <w:pPr>
                      <w:pStyle w:val="7"/>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 xml:space="preserve">RB/T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515596">
    <w:pPr>
      <w:pStyle w:val="7"/>
      <w:pBdr>
        <w:bottom w:val="none" w:color="auto" w:sz="0" w:space="1"/>
      </w:pBdr>
      <w:jc w:val="right"/>
    </w:pPr>
    <w:r>
      <w:rPr>
        <w:rFonts w:hint="eastAsia" w:ascii="黑体" w:hAnsi="黑体" w:eastAsia="黑体"/>
        <w:sz w:val="21"/>
        <w:szCs w:val="21"/>
      </w:rPr>
      <w:t>T/ZGXCFZXH</w:t>
    </w:r>
    <w:r>
      <w:rPr>
        <w:rFonts w:ascii="黑体" w:hAnsi="黑体" w:eastAsia="黑体"/>
        <w:sz w:val="21"/>
        <w:szCs w:val="21"/>
      </w:rPr>
      <w:t xml:space="preserve"> </w:t>
    </w:r>
    <w:r>
      <w:rPr>
        <w:rFonts w:hint="eastAsia" w:ascii="黑体" w:hAnsi="黑体" w:eastAsia="黑体"/>
        <w:sz w:val="21"/>
        <w:szCs w:val="21"/>
      </w:rPr>
      <w:t>0001.</w:t>
    </w:r>
    <w:r>
      <w:rPr>
        <w:rFonts w:hint="eastAsia" w:ascii="黑体" w:hAnsi="黑体" w:eastAsia="黑体"/>
        <w:sz w:val="21"/>
        <w:szCs w:val="21"/>
        <w:lang w:val="en-US" w:eastAsia="zh-CN"/>
      </w:rPr>
      <w:t>24</w:t>
    </w:r>
    <w:r>
      <w:rPr>
        <w:rFonts w:hint="eastAsia" w:ascii="黑体" w:hAnsi="黑体" w:eastAsia="黑体"/>
        <w:sz w:val="21"/>
        <w:szCs w:val="21"/>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EzNThhZGZiODc5NTE3ODAxMDU0YWNiOGMyYThjMmYifQ=="/>
  </w:docVars>
  <w:rsids>
    <w:rsidRoot w:val="15B2766E"/>
    <w:rsid w:val="002D6828"/>
    <w:rsid w:val="00324254"/>
    <w:rsid w:val="00B80F8D"/>
    <w:rsid w:val="011F7882"/>
    <w:rsid w:val="07D478A0"/>
    <w:rsid w:val="09470E14"/>
    <w:rsid w:val="0A397E8E"/>
    <w:rsid w:val="0C0C0C8B"/>
    <w:rsid w:val="0D28135A"/>
    <w:rsid w:val="0ED25E72"/>
    <w:rsid w:val="0EFD2A55"/>
    <w:rsid w:val="12FF6D9B"/>
    <w:rsid w:val="1383038A"/>
    <w:rsid w:val="13BF008F"/>
    <w:rsid w:val="15031585"/>
    <w:rsid w:val="15B2766E"/>
    <w:rsid w:val="160F3C90"/>
    <w:rsid w:val="162163A6"/>
    <w:rsid w:val="186662F2"/>
    <w:rsid w:val="1A7A7A3E"/>
    <w:rsid w:val="1B5A68E3"/>
    <w:rsid w:val="1B78507E"/>
    <w:rsid w:val="1C8675B7"/>
    <w:rsid w:val="1CB76590"/>
    <w:rsid w:val="1D632E00"/>
    <w:rsid w:val="1E861C86"/>
    <w:rsid w:val="20FE1F61"/>
    <w:rsid w:val="23492C57"/>
    <w:rsid w:val="261B28CF"/>
    <w:rsid w:val="273D4A28"/>
    <w:rsid w:val="28550131"/>
    <w:rsid w:val="2A753B73"/>
    <w:rsid w:val="38655D5F"/>
    <w:rsid w:val="39455658"/>
    <w:rsid w:val="398E66CE"/>
    <w:rsid w:val="3A2442FB"/>
    <w:rsid w:val="3F4D01CC"/>
    <w:rsid w:val="46566D64"/>
    <w:rsid w:val="474451A1"/>
    <w:rsid w:val="47AE6527"/>
    <w:rsid w:val="4A7B2700"/>
    <w:rsid w:val="4BFD7B86"/>
    <w:rsid w:val="4E1C64F6"/>
    <w:rsid w:val="4E4B6454"/>
    <w:rsid w:val="4EC059D5"/>
    <w:rsid w:val="4F145070"/>
    <w:rsid w:val="5073598C"/>
    <w:rsid w:val="511E0FCE"/>
    <w:rsid w:val="52061C8F"/>
    <w:rsid w:val="522A30F1"/>
    <w:rsid w:val="524467E0"/>
    <w:rsid w:val="54212AF2"/>
    <w:rsid w:val="54502464"/>
    <w:rsid w:val="554149BF"/>
    <w:rsid w:val="556B21D1"/>
    <w:rsid w:val="560D32B1"/>
    <w:rsid w:val="56121E41"/>
    <w:rsid w:val="595A2602"/>
    <w:rsid w:val="5B4C4063"/>
    <w:rsid w:val="5D2772AB"/>
    <w:rsid w:val="5D2D6150"/>
    <w:rsid w:val="5E4A5DE3"/>
    <w:rsid w:val="5EEF0EA9"/>
    <w:rsid w:val="5F8A1E93"/>
    <w:rsid w:val="5F8C3DB3"/>
    <w:rsid w:val="612B6E0F"/>
    <w:rsid w:val="64416F2E"/>
    <w:rsid w:val="64934505"/>
    <w:rsid w:val="65B72C59"/>
    <w:rsid w:val="6655667C"/>
    <w:rsid w:val="68600824"/>
    <w:rsid w:val="6E5018A1"/>
    <w:rsid w:val="70D373BA"/>
    <w:rsid w:val="712A66B5"/>
    <w:rsid w:val="717C2A49"/>
    <w:rsid w:val="71D36D7A"/>
    <w:rsid w:val="731436C5"/>
    <w:rsid w:val="746F2FAE"/>
    <w:rsid w:val="75C90F16"/>
    <w:rsid w:val="76031347"/>
    <w:rsid w:val="78FC11DC"/>
    <w:rsid w:val="7D052701"/>
    <w:rsid w:val="7D6841D4"/>
    <w:rsid w:val="7E2474A5"/>
    <w:rsid w:val="7E4946CB"/>
    <w:rsid w:val="7F1716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autoRedefine/>
    <w:qFormat/>
    <w:uiPriority w:val="0"/>
    <w:pPr>
      <w:keepNext/>
      <w:keepLines/>
      <w:spacing w:before="100" w:beforeLines="100" w:after="100" w:afterLines="100"/>
      <w:outlineLvl w:val="0"/>
    </w:pPr>
    <w:rPr>
      <w:rFonts w:ascii="黑体" w:hAnsi="黑体" w:eastAsia="黑体"/>
      <w:kern w:val="44"/>
      <w:sz w:val="28"/>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autoRedefine/>
    <w:qFormat/>
    <w:uiPriority w:val="0"/>
    <w:pPr>
      <w:jc w:val="left"/>
    </w:pPr>
  </w:style>
  <w:style w:type="paragraph" w:styleId="4">
    <w:name w:val="Body Text"/>
    <w:basedOn w:val="1"/>
    <w:autoRedefine/>
    <w:qFormat/>
    <w:uiPriority w:val="1"/>
    <w:pPr>
      <w:spacing w:before="120" w:beforeLines="50" w:after="120" w:afterLines="50"/>
      <w:ind w:firstLine="420" w:firstLineChars="200"/>
      <w:pPrChange w:id="0" w:author="pc" w:date="2024-05-07T19:32:00Z">
        <w:pPr>
          <w:widowControl w:val="0"/>
          <w:ind w:firstLine="420" w:firstLineChars="200"/>
          <w:jc w:val="both"/>
        </w:pPr>
      </w:pPrChange>
    </w:pPr>
    <w:rPr>
      <w:rFonts w:ascii="宋体" w:hAnsi="宋体"/>
      <w:szCs w:val="21"/>
      <w:rPrChange w:id="1" w:author="pc" w:date="2024-05-07T19:32:00Z">
        <w:rPr>
          <w:rFonts w:ascii="宋体" w:hAnsi="宋体" w:eastAsia="宋体"/>
          <w:kern w:val="2"/>
          <w:sz w:val="28"/>
          <w:szCs w:val="21"/>
          <w:lang w:val="en-US" w:eastAsia="zh-CN" w:bidi="ar-SA"/>
        </w:rPr>
      </w:rPrChange>
    </w:rPr>
  </w:style>
  <w:style w:type="paragraph" w:styleId="5">
    <w:name w:val="Balloon Text"/>
    <w:basedOn w:val="1"/>
    <w:link w:val="22"/>
    <w:autoRedefine/>
    <w:qFormat/>
    <w:uiPriority w:val="0"/>
    <w:rPr>
      <w:sz w:val="18"/>
      <w:szCs w:val="18"/>
    </w:rPr>
  </w:style>
  <w:style w:type="paragraph" w:styleId="6">
    <w:name w:val="footer"/>
    <w:basedOn w:val="1"/>
    <w:autoRedefine/>
    <w:qFormat/>
    <w:uiPriority w:val="99"/>
    <w:pPr>
      <w:tabs>
        <w:tab w:val="center" w:pos="4153"/>
        <w:tab w:val="right" w:pos="8306"/>
      </w:tabs>
      <w:snapToGrid w:val="0"/>
      <w:jc w:val="left"/>
    </w:pPr>
    <w:rPr>
      <w:kern w:val="0"/>
      <w:sz w:val="18"/>
      <w:szCs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qFormat/>
    <w:uiPriority w:val="39"/>
  </w:style>
  <w:style w:type="paragraph" w:styleId="9">
    <w:name w:val="toc 2"/>
    <w:basedOn w:val="1"/>
    <w:next w:val="1"/>
    <w:autoRedefine/>
    <w:qFormat/>
    <w:uiPriority w:val="39"/>
    <w:pPr>
      <w:ind w:left="420" w:leftChars="200"/>
    </w:pPr>
  </w:style>
  <w:style w:type="paragraph" w:styleId="10">
    <w:name w:val="HTML Preformatted"/>
    <w:basedOn w:val="1"/>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3">
    <w:name w:val="Hyperlink"/>
    <w:autoRedefine/>
    <w:unhideWhenUsed/>
    <w:qFormat/>
    <w:uiPriority w:val="99"/>
    <w:rPr>
      <w:color w:val="0000FF"/>
      <w:u w:val="none"/>
    </w:rPr>
  </w:style>
  <w:style w:type="paragraph" w:customStyle="1" w:styleId="14">
    <w:name w:val="实施日期"/>
    <w:basedOn w:val="15"/>
    <w:autoRedefine/>
    <w:qFormat/>
    <w:uiPriority w:val="0"/>
    <w:pPr>
      <w:framePr w:wrap="around" w:vAnchor="page" w:hAnchor="text"/>
      <w:jc w:val="right"/>
    </w:pPr>
  </w:style>
  <w:style w:type="paragraph" w:customStyle="1" w:styleId="15">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16">
    <w:name w:val="段"/>
    <w:autoRedefine/>
    <w:qFormat/>
    <w:uiPriority w:val="0"/>
    <w:pPr>
      <w:tabs>
        <w:tab w:val="center" w:pos="4201"/>
        <w:tab w:val="right" w:leader="dot" w:pos="9298"/>
      </w:tabs>
      <w:autoSpaceDE w:val="0"/>
      <w:autoSpaceDN w:val="0"/>
      <w:ind w:firstLine="420" w:firstLineChars="200"/>
      <w:jc w:val="both"/>
    </w:pPr>
    <w:rPr>
      <w:rFonts w:ascii="宋体" w:hAnsi="Times New Roman" w:eastAsia="Times New Roman" w:cs="Times New Roman"/>
      <w:sz w:val="21"/>
      <w:lang w:val="en-US" w:eastAsia="zh-CN" w:bidi="ar-SA"/>
    </w:rPr>
  </w:style>
  <w:style w:type="paragraph" w:customStyle="1" w:styleId="17">
    <w:name w:val="Default"/>
    <w:autoRedefine/>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8">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9">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240" w:lineRule="atLeast"/>
      <w:jc w:val="distribute"/>
    </w:pPr>
    <w:rPr>
      <w:rFonts w:ascii="宋体" w:hAnsi="Times New Roman" w:eastAsia="宋体" w:cs="Times New Roman"/>
      <w:b/>
      <w:bCs/>
      <w:spacing w:val="20"/>
      <w:w w:val="148"/>
      <w:sz w:val="48"/>
      <w:lang w:val="en-US" w:eastAsia="zh-CN" w:bidi="ar-SA"/>
    </w:rPr>
  </w:style>
  <w:style w:type="paragraph" w:customStyle="1" w:styleId="20">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21">
    <w:name w:val="发布部门"/>
    <w:next w:val="1"/>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character" w:customStyle="1" w:styleId="22">
    <w:name w:val="批注框文本 Char"/>
    <w:basedOn w:val="12"/>
    <w:link w:val="5"/>
    <w:autoRedefine/>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1251</Words>
  <Characters>1584</Characters>
  <Lines>26</Lines>
  <Paragraphs>7</Paragraphs>
  <TotalTime>0</TotalTime>
  <ScaleCrop>false</ScaleCrop>
  <LinksUpToDate>false</LinksUpToDate>
  <CharactersWithSpaces>1648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2024-04-07T02:30:00Z</dcterms:created>
  <dc:creator>王琦</dc:creator>
  <cp:lastModifiedBy>杨～有机认证</cp:lastModifiedBy>
  <dcterms:modified xsi:type="dcterms:W3CDTF">2024-11-20T09:02:54Z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F6AB768AB6634247B82DAC4008E9386D_13</vt:lpwstr>
  </property>
</Properties>
</file>