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AC0597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DB5F7D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70617949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F9AA24E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4AC36545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7DB5F7D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70617949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F9AA24E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4AC36545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CBA2443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34042CD7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689B86B">
                            <w:pPr>
                              <w:pStyle w:val="15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689B86B">
                      <w:pPr>
                        <w:pStyle w:val="15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3ACC52">
      <w:pPr>
        <w:jc w:val="left"/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382270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0.1pt;height:0pt;width:481.9pt;z-index:251662336;mso-width-relative:page;mso-height-relative:page;" filled="f" stroked="t" coordsize="21600,21600" o:gfxdata="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2Wlg2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40FE92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E40FE92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E8F1C53">
                            <w:pPr>
                              <w:pStyle w:val="17"/>
                              <w:spacing w:before="156" w:after="156"/>
                              <w:ind w:firstLine="1960" w:firstLineChars="700"/>
                              <w:jc w:val="right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0001.18-2024</w:t>
                            </w:r>
                          </w:p>
                          <w:p w14:paraId="6C76FAC0">
                            <w:pPr>
                              <w:pStyle w:val="17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/+I5ut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I0oCFI0wWIQDy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/4jm6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E8F1C53">
                      <w:pPr>
                        <w:pStyle w:val="17"/>
                        <w:spacing w:before="156" w:after="156"/>
                        <w:ind w:firstLine="1960" w:firstLineChars="700"/>
                        <w:jc w:val="right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  <w:highlight w:val="none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  <w:highlight w:val="none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0001.18-2024</w:t>
                      </w:r>
                    </w:p>
                    <w:p w14:paraId="6C76FAC0">
                      <w:pPr>
                        <w:pStyle w:val="17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883E1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default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道地药材集采交易标准 东银花</w:t>
      </w:r>
    </w:p>
    <w:p w14:paraId="20A87D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left="-420" w:leftChars="-200" w:right="-304" w:rightChars="-145" w:firstLine="0" w:firstLineChars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genuine regional materia medica</w:t>
      </w:r>
    </w:p>
    <w:p w14:paraId="1ED90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LONICERAE JAPONICAE FLOS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6ECFEA63">
      <w:pPr>
        <w:rPr>
          <w:rFonts w:hint="eastAsia" w:ascii="黑体" w:hAnsi="黑体" w:eastAsia="黑体" w:cs="黑体"/>
          <w:b w:val="0"/>
          <w:bCs w:val="0"/>
          <w:color w:val="000000"/>
          <w:sz w:val="28"/>
          <w:szCs w:val="28"/>
        </w:rPr>
      </w:pPr>
      <w:bookmarkStart w:id="38" w:name="_GoBack"/>
      <w:bookmarkEnd w:id="38"/>
    </w:p>
    <w:p w14:paraId="3BD0A21B">
      <w:pPr>
        <w:pStyle w:val="11"/>
        <w:framePr w:wrap="around" w:vAnchor="margin" w:yAlign="top"/>
        <w:ind w:left="5250" w:right="280"/>
        <w:rPr>
          <w:color w:val="000000"/>
        </w:rPr>
      </w:pPr>
    </w:p>
    <w:p w14:paraId="6DC74186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2AC1D90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0922B12">
                                  <w:pPr>
                                    <w:pStyle w:val="18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48AA3A8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5CAEB61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2AC1D90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0922B12">
                            <w:pPr>
                              <w:pStyle w:val="18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48AA3A8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5CAEB61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4328795</wp:posOffset>
                </wp:positionH>
                <wp:positionV relativeFrom="margin">
                  <wp:posOffset>8077835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594D31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0.85pt;margin-top:636.0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MLM5d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F594D31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8077835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E67D53D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6.0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SbEk+d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E67D53D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6EC34A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2640330</wp:posOffset>
                </wp:positionV>
                <wp:extent cx="6120130" cy="0"/>
                <wp:effectExtent l="0" t="4445" r="4445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207.9pt;height:0pt;width:481.9pt;z-index:251666432;mso-width-relative:page;mso-height-relative:page;" filled="f" stroked="t" coordsize="21600,21600" o:gfxdata="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BYC67P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93E82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11998"/>
      <w:bookmarkStart w:id="1" w:name="_Toc29175"/>
      <w:bookmarkStart w:id="2" w:name="_Toc31551"/>
      <w:bookmarkStart w:id="3" w:name="_Toc22401"/>
      <w:bookmarkStart w:id="4" w:name="_Toc23109710"/>
      <w:bookmarkStart w:id="5" w:name="_Toc21586"/>
      <w:bookmarkStart w:id="6" w:name="_Toc7349"/>
      <w:bookmarkStart w:id="7" w:name="_Toc5123"/>
      <w:bookmarkStart w:id="8" w:name="_Toc13472"/>
      <w:bookmarkStart w:id="9" w:name="_Toc19640"/>
      <w:bookmarkStart w:id="10" w:name="_Toc18100"/>
      <w:bookmarkStart w:id="11" w:name="_Toc26679"/>
      <w:bookmarkStart w:id="12" w:name="_Toc32599"/>
      <w:bookmarkStart w:id="13" w:name="_Toc26541137"/>
      <w:bookmarkStart w:id="14" w:name="_Toc5094"/>
      <w:bookmarkStart w:id="15" w:name="_Toc13900"/>
      <w:bookmarkStart w:id="16" w:name="_Toc16010"/>
      <w:bookmarkStart w:id="17" w:name="_Toc18223"/>
      <w:bookmarkStart w:id="18" w:name="_Toc840"/>
      <w:bookmarkStart w:id="19" w:name="_Toc30137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53207F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0913F50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提出并归口。</w:t>
      </w:r>
    </w:p>
    <w:p w14:paraId="70F5DF1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本标准起草单位：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成都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中医药大学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成都大学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四川农业大学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中健安检测认证中心有限公司。</w:t>
      </w:r>
    </w:p>
    <w:p w14:paraId="1FDA9D4B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本标准主要起草人：高继海、刘依婷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夏燕莉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高顺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、王琦。</w:t>
      </w:r>
    </w:p>
    <w:p w14:paraId="5413AE1F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78696D6E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0A3FFA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东</w:t>
      </w:r>
      <w:r>
        <w:rPr>
          <w:rFonts w:hint="eastAsia" w:ascii="黑体" w:hAnsi="黑体" w:eastAsia="黑体"/>
          <w:bCs/>
          <w:color w:val="000000"/>
          <w:sz w:val="32"/>
          <w:szCs w:val="32"/>
          <w:highlight w:val="none"/>
          <w:lang w:val="en-US" w:eastAsia="zh-CN"/>
        </w:rPr>
        <w:t>银花</w:t>
      </w:r>
    </w:p>
    <w:p w14:paraId="198F52D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40DA14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要求。</w:t>
      </w:r>
    </w:p>
    <w:p w14:paraId="0677C4E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的集采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交易。</w:t>
      </w:r>
    </w:p>
    <w:p w14:paraId="464606D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08B4D87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1163941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《道地药材集采交易标准编制通则》</w:t>
      </w:r>
    </w:p>
    <w:p w14:paraId="6A56C7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编制通则》</w:t>
      </w:r>
    </w:p>
    <w:p w14:paraId="5059C6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10-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金银花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458568E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 </w:t>
      </w: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术语和定义</w:t>
      </w:r>
    </w:p>
    <w:p w14:paraId="74B0846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 xml:space="preserve">3.1 </w:t>
      </w:r>
    </w:p>
    <w:p w14:paraId="325FA85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金银花</w:t>
      </w:r>
    </w:p>
    <w:p w14:paraId="56350B8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 xml:space="preserve">忍冬科植物忍冬 </w:t>
      </w:r>
      <w:r>
        <w:rPr>
          <w:rFonts w:hint="eastAsia" w:ascii="宋体" w:hAnsi="宋体" w:eastAsia="宋体" w:cs="宋体"/>
          <w:bCs/>
          <w:i/>
          <w:iCs/>
          <w:color w:val="000000"/>
          <w:kern w:val="0"/>
          <w:sz w:val="21"/>
          <w:szCs w:val="21"/>
          <w:lang w:val="en-US" w:eastAsia="zh-CN" w:bidi="ar-SA"/>
        </w:rPr>
        <w:t>Lonicera japonica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 xml:space="preserve"> Thunb.</w:t>
      </w:r>
    </w:p>
    <w:p w14:paraId="7BA2779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3.2 </w:t>
      </w:r>
    </w:p>
    <w:p w14:paraId="1BA98B8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开放花率</w:t>
      </w:r>
    </w:p>
    <w:p w14:paraId="3220F9B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金银花药材中开花个数与总花数的比率。</w:t>
      </w:r>
    </w:p>
    <w:p w14:paraId="533021E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3.3 </w:t>
      </w:r>
    </w:p>
    <w:p w14:paraId="4A94C3C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枝叶率</w:t>
      </w:r>
    </w:p>
    <w:p w14:paraId="5C2885C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金银花药材中枝叶重量与总质量的比率。</w:t>
      </w:r>
    </w:p>
    <w:p w14:paraId="45AAB20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3.4 </w:t>
      </w:r>
    </w:p>
    <w:p w14:paraId="2988148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黑条</w:t>
      </w:r>
    </w:p>
    <w:p w14:paraId="25A75B4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金银花花蕾全部变黑。</w:t>
      </w:r>
    </w:p>
    <w:p w14:paraId="1F96BE0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3.5 </w:t>
      </w:r>
    </w:p>
    <w:p w14:paraId="1BCAAEE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黑头</w:t>
      </w:r>
    </w:p>
    <w:p w14:paraId="31A0E49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金银花花蕾部分变黑。</w:t>
      </w:r>
    </w:p>
    <w:p w14:paraId="4F1200E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2558DA9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016C691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478E6F0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yellow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忍冬科植物忍冬 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 xml:space="preserve">Lonicera japonica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Thunb.</w:t>
      </w:r>
    </w:p>
    <w:p w14:paraId="5560F19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6EFCC4C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val="en-US" w:eastAsia="zh-CN"/>
        </w:rPr>
        <w:t>金银花的干燥花蕾或带初开的花。</w:t>
      </w:r>
    </w:p>
    <w:p w14:paraId="7875BBC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21AC6DE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主产山东省沂蒙山区及周边地区。</w:t>
      </w:r>
    </w:p>
    <w:p w14:paraId="2401673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38687F2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一般于5月中、下旬采摘第茬花，隔1个多月后陆续采第2、3、4茬。采收期必须在花蕾尚未开放之前。当花蕾由绿变白、上部膨大、下部为青色时，采摘的金银花称“二白花”；花蕾完全变白时采收的花称“大白针”。一天之内，以清早至上午9点前所采摘的花蕾质量最好。</w:t>
      </w:r>
    </w:p>
    <w:p w14:paraId="070A3E9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2D07CD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4.1.5.1 日晒、阴晾法</w:t>
      </w:r>
    </w:p>
    <w:p w14:paraId="5A83EAD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采下后应立即晾干或烘干，以当天或两天内晒干为好。当天未晒干，夜间将花筐架起，留出间隙，让水分散发。初晒时不能任意翻动（尤其不可用手），以免花色变黑。</w:t>
      </w:r>
    </w:p>
    <w:p w14:paraId="19E688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4.1.5.2 烘干法</w:t>
      </w:r>
    </w:p>
    <w:p w14:paraId="5465509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若遇阴雨天气应及时烘干。因烘干不受外界天气影响，容易掌握火候，比晒干的成品率高，质量好。一般烘12~20h可全部烘干，烘干时不能用手或其他东西翻动，否则易变黑，未干时不能停烘，停烘会引起发热变质。</w:t>
      </w:r>
    </w:p>
    <w:p w14:paraId="5C230F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4.1.5.3 炒鲜处理干燥法</w:t>
      </w:r>
    </w:p>
    <w:p w14:paraId="0D99F50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把鲜品适量放入干净的热烫锅内，随即均匀地轻翻轻炒，至鲜花均匀萎蔫，取出晒干、烘干或置于通风处阴干。炒时必须严格控制火候，勿使焦碎。</w:t>
      </w:r>
    </w:p>
    <w:p w14:paraId="7959B7DD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4.1.5.4 蒸汽处理干燥法</w:t>
      </w:r>
    </w:p>
    <w:p w14:paraId="717E9DEA"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将鲜花疏松地放入蒸笼内，蒸3~5min，取出晒干或烘干。用蒸汽处理时间不宜过长，以防鲜花熟烂，改变性味。此法增加了花中水分含量，要及时晒干或烘干，若是阴干，成品质量较差。</w:t>
      </w:r>
    </w:p>
    <w:p w14:paraId="432D0AB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0E47DED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16556C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呈棒状，上粗下细，略弯曲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6161E1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表面</w:t>
      </w:r>
    </w:p>
    <w:p w14:paraId="648C73C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面黄白色或绿白色（贮久色渐深），密被短柔毛。表偶见叶状苞片。花萼绿色，先端5裂，裂片有毛。开放者花冠筒状，先端二唇形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雄宝，附手筒壁，黄色；雌翠放，色黄白鲜艳或淡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94FD22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4.2.3 质地</w:t>
      </w:r>
    </w:p>
    <w:p w14:paraId="1F9084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质地柔软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0A4DEF0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气味</w:t>
      </w:r>
    </w:p>
    <w:p w14:paraId="3FE53AB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气清香，味淡、微苦。</w:t>
      </w:r>
    </w:p>
    <w:p w14:paraId="43E1904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</w:p>
    <w:p w14:paraId="55A074DD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显微鉴别</w:t>
      </w:r>
    </w:p>
    <w:p w14:paraId="29005F34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本品粉末浅黄棕色或黄绿色。腺毛较多，头部倒圆锥形、类圆形或略扁圆形，4～33细胞，排成2～4层，直径30～64～108μm，柄部1～5细胞，长可达700μm。非腺毛有两种：一种为厚壁非腺毛，单细胞，长可达900μm，表面有微细疣状或泡状突起，有的具螺纹；另一种为薄壁非腺毛，单细胞，甚长，弯曲或皱缩，表面有微细疣状突起。草酸钙簇晶直径6～45μm。花粉粒类圆形或三角形，表面具细密短刺及细颗粒状雕纹，具3孔沟。</w:t>
      </w:r>
    </w:p>
    <w:p w14:paraId="3FB58D9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4.3.2 薄层鉴别</w:t>
      </w:r>
    </w:p>
    <w:p w14:paraId="3EE97E3B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highlight w:val="yellow"/>
          <w:lang w:val="en-US" w:eastAsia="zh-CN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取本品粉末0.2g，加甲醇5ml，放置12小时，滤过，取滤液作为供试品溶液。另取绿原酸对照品，加甲醇制成每1ml含1mg的溶液，作为对照品溶液。照薄层色谱法（通则0502）试验，吸取供试品溶液10～20μl、对照品溶液10μl，分别点于同一硅胶H薄层板上，以乙酸丁酯-甲酸-水（7:2.5:2.5）的上层溶液为展开剂，展开，取出，晾干，置紫外光灯（365nm）下检视。供试品色谱中，在与对照品色谱相应的位置上，显相同颜色的荧光斑点。</w:t>
      </w:r>
    </w:p>
    <w:p w14:paraId="0AEBBF3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12B8371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水分</w:t>
      </w:r>
    </w:p>
    <w:p w14:paraId="5ACEA47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0832第四法，水分不得过12%。</w:t>
      </w:r>
    </w:p>
    <w:p w14:paraId="44BE9EE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33B3BD0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2302），总灰分不得过10%。</w:t>
      </w:r>
    </w:p>
    <w:p w14:paraId="36AC157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4.4.3 酸不溶性灰分</w:t>
      </w:r>
    </w:p>
    <w:p w14:paraId="52CBCF0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02，酸不溶性灰分不得过3%。</w:t>
      </w:r>
    </w:p>
    <w:p w14:paraId="22111347">
      <w:pPr>
        <w:pStyle w:val="3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二氧化硫残留</w:t>
      </w:r>
    </w:p>
    <w:p w14:paraId="1D56923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照《中华人民共和国药典》2020版通则2331二氧化硫残留量测定法测定，不得过150mg/kg。</w:t>
      </w:r>
    </w:p>
    <w:p w14:paraId="31848B06">
      <w:pPr>
        <w:pStyle w:val="3"/>
        <w:snapToGrid/>
        <w:spacing w:before="120" w:beforeLines="50" w:after="120" w:afterLines="50"/>
        <w:jc w:val="both"/>
        <w:rPr>
          <w:rFonts w:hint="default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1" w:name="_Toc21136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4.4.5 重金属</w:t>
      </w:r>
      <w:bookmarkEnd w:id="21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残留</w:t>
      </w:r>
    </w:p>
    <w:p w14:paraId="6B8D38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铅不得过10mg/kg；镉不得过1mg/kg；砷不得过5mg/kg；汞不得过1mg/kg；铜不得过20mg/kg。</w:t>
      </w:r>
    </w:p>
    <w:p w14:paraId="39CD456B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2" w:name="_Toc10374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4.4.6 农药残留</w:t>
      </w:r>
      <w:bookmarkEnd w:id="22"/>
    </w:p>
    <w:p w14:paraId="6AF4F18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2F1AC60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</w:p>
    <w:p w14:paraId="00C782C4"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金银花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干燥品计算，含绿原酸（C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）不得少于1.5%，含酚酸类以绿原酸（C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）、3，5-二-O-咖啡酰奎宁酸（C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）和4，5-二-O-咖啡酰奎宁酸（C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）的总量计，不得少于3.8%。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通则0512）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金银花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干燥品计算，含木犀草苷（C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）不得少于0.050%。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通则0512）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。</w:t>
      </w:r>
    </w:p>
    <w:p w14:paraId="695E7D2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</w:p>
    <w:p w14:paraId="222CCFE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5D2596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应实现中药材生产全过程可追溯，并通过第三方溯源评价。</w:t>
      </w:r>
    </w:p>
    <w:p w14:paraId="0C840A4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4A2BBF1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0886197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7F65276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364E1650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4.7 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>等级及集采要求</w:t>
      </w:r>
    </w:p>
    <w:p w14:paraId="2720039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东银花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药材具体要求见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表1。</w:t>
      </w:r>
    </w:p>
    <w:tbl>
      <w:tblPr>
        <w:tblStyle w:val="8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280"/>
        <w:gridCol w:w="1903"/>
        <w:gridCol w:w="2293"/>
      </w:tblGrid>
      <w:tr w14:paraId="622BE8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CDD6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auto"/>
                <w:sz w:val="21"/>
                <w:szCs w:val="21"/>
                <w:lang w:val="en-US" w:eastAsia="zh-CN"/>
              </w:rPr>
              <w:t>表1 道地</w:t>
            </w:r>
            <w:r>
              <w:rPr>
                <w:rFonts w:hint="eastAsia" w:ascii="黑体" w:hAnsi="黑体" w:eastAsia="黑体" w:cs="黑体"/>
                <w:b w:val="0"/>
                <w:bCs/>
                <w:color w:val="auto"/>
                <w:kern w:val="0"/>
                <w:sz w:val="21"/>
                <w:szCs w:val="21"/>
                <w:lang w:bidi="ar"/>
              </w:rPr>
              <w:t>药材集采交易标准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东银花</w:t>
            </w:r>
          </w:p>
        </w:tc>
      </w:tr>
      <w:tr w14:paraId="5AEAD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D777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427A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02FF695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028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B9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462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69CC06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EAA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  <w:p w14:paraId="563A3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2BEB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种源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B1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" w:firstLineChars="200"/>
              <w:jc w:val="left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本品为忍冬科植物忍冬</w:t>
            </w:r>
            <w:r>
              <w:rPr>
                <w:rFonts w:hint="eastAsia" w:ascii="宋体" w:hAnsi="宋体" w:eastAsia="宋体" w:cs="宋体"/>
                <w:bCs/>
                <w:i/>
                <w:iCs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Lonicera japonica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 xml:space="preserve"> Thunb.</w:t>
            </w:r>
          </w:p>
        </w:tc>
      </w:tr>
      <w:tr w14:paraId="769702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7F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5CED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49EA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干燥花蕾或初开的花</w:t>
            </w:r>
          </w:p>
        </w:tc>
      </w:tr>
      <w:tr w14:paraId="664A4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6EB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C5C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4FB777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夏初花开放前采收</w:t>
            </w:r>
          </w:p>
        </w:tc>
      </w:tr>
      <w:tr w14:paraId="272B01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269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4A8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9C08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晒干</w:t>
            </w:r>
          </w:p>
        </w:tc>
      </w:tr>
      <w:tr w14:paraId="7E77F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2073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1458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028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山东省沂蒙山区及周边地区</w:t>
            </w:r>
          </w:p>
        </w:tc>
      </w:tr>
      <w:tr w14:paraId="09ED4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66B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  <w:p w14:paraId="4BF072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EE4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BF1A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呈棒状，上粗下细，略弯曲，</w:t>
            </w:r>
          </w:p>
        </w:tc>
      </w:tr>
      <w:tr w14:paraId="35D479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DBB8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9CE3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495D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气清香，味淡、微苦</w:t>
            </w:r>
          </w:p>
        </w:tc>
      </w:tr>
      <w:tr w14:paraId="22896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447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AFE7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B6E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柔软</w:t>
            </w:r>
          </w:p>
        </w:tc>
      </w:tr>
      <w:tr w14:paraId="48BFB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07DF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27D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表面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0847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表面黄白色或绿白色（贮久色渐深），密被短柔毛</w:t>
            </w:r>
          </w:p>
        </w:tc>
      </w:tr>
      <w:tr w14:paraId="2D54E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7F6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AB15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开放花率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4F12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531F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不得过1%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291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2%</w:t>
            </w:r>
          </w:p>
        </w:tc>
      </w:tr>
      <w:tr w14:paraId="677648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0AEA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14C7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枝叶率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76D8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D752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不得过1%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CB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不得过1.5%</w:t>
            </w:r>
          </w:p>
        </w:tc>
      </w:tr>
      <w:tr w14:paraId="1D89E2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272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57A5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黑头黑条率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C77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0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01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不得过1%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C4F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不得过1.5%</w:t>
            </w:r>
          </w:p>
        </w:tc>
      </w:tr>
      <w:tr w14:paraId="72C6E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BE3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鉴别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ABC3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鉴别（1）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562CA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本品粉末浅黄棕色或黄绿色。腺毛较多，头部倒圆锥形、类圆形或略扁圆形，4～33细胞，排成2～4层，直径30～64～108μm，柄部1～5细胞，长可达700μm。非腺毛有两种：一种为厚壁非腺毛，单细胞，长可达900μm，表面有微细疣状或泡状突起，有的具螺纹；另一种为薄壁非腺毛，单细胞，甚长，弯曲或皱缩，表面有微细疣状突起。草酸钙簇晶直径6～45μm。花粉粒类圆形或三角形，表面具细密短刺及细颗粒状雕纹，具3孔沟</w:t>
            </w:r>
            <w:r>
              <w:rPr>
                <w:rFonts w:hint="eastAsia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。</w:t>
            </w:r>
          </w:p>
        </w:tc>
      </w:tr>
      <w:tr w14:paraId="50C15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A94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118A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鉴别（2）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BE8064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取本品粉末0.2g，加甲醇5ml，放置12小时，滤过，取滤液作为供试品溶液。另取绿原酸对照品，加甲醇制成每1ml含1mg的溶液，作为对照品溶液。照薄层色谱法（通则0502）试验，吸取供试品溶液10～20μl、对照品溶液10μl，分别点于同一硅胶H薄层板上，以乙酸丁酯-甲酸-水（7:2.5:2.5）的上层溶液为展开剂，展开，取出，晾干，置紫外光灯（365nm）下检视。供试品色谱中，在与对照品色谱相应的位置上，显相同颜色的荧光斑点</w:t>
            </w:r>
            <w:r>
              <w:rPr>
                <w:rFonts w:hint="eastAsia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  <w:t>。</w:t>
            </w:r>
          </w:p>
        </w:tc>
      </w:tr>
      <w:tr w14:paraId="0CA43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3A5C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  <w:p w14:paraId="4C515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A1B8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BA12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不得过15%</w:t>
            </w:r>
          </w:p>
        </w:tc>
      </w:tr>
      <w:tr w14:paraId="54DA4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FC07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8661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总灰分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733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不得过12%</w:t>
            </w:r>
          </w:p>
        </w:tc>
      </w:tr>
      <w:tr w14:paraId="1AD20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C68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2DA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酸不溶性灰分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E418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不得过3%</w:t>
            </w:r>
          </w:p>
        </w:tc>
      </w:tr>
      <w:tr w14:paraId="04A9F0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3A0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B85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321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1E687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F4D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A61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125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40FE2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7FC72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912E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795D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0F20B6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78D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  <w:p w14:paraId="4200E7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0E34C2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木犀草苷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</w:p>
        </w:tc>
        <w:tc>
          <w:tcPr>
            <w:tcW w:w="6476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7B7B70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不得少于0.050%</w:t>
            </w:r>
            <w:r>
              <w:rPr>
                <w:rFonts w:hint="eastAsia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700BB9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8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3C30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71A48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绿原酸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  <w:r>
              <w:rPr>
                <w:rFonts w:hint="eastAsia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eastAsia="zh-CN"/>
              </w:rPr>
              <w:t>、</w:t>
            </w:r>
          </w:p>
          <w:p w14:paraId="5AB6FD76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3，5-二-O-咖啡</w:t>
            </w:r>
            <w:r>
              <w:rPr>
                <w:rFonts w:hint="eastAsia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酰奎宁酸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</w:p>
          <w:p w14:paraId="0E934293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4，5-二-O-咖啡酰奎宁酸（C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24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  <w:r>
              <w:rPr>
                <w:rFonts w:hint="eastAsia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>的总量</w:t>
            </w:r>
          </w:p>
        </w:tc>
        <w:tc>
          <w:tcPr>
            <w:tcW w:w="6476" w:type="dxa"/>
            <w:gridSpan w:val="3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EBA66D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不得少于3.8%</w:t>
            </w:r>
          </w:p>
        </w:tc>
      </w:tr>
      <w:tr w14:paraId="73254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EDE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A87DF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绿原酸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FD9CD5">
            <w:pPr>
              <w:pStyle w:val="7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15" w:beforeAutospacing="0" w:after="115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  <w:t>不得少于1.5%</w:t>
            </w:r>
          </w:p>
        </w:tc>
      </w:tr>
      <w:tr w14:paraId="7C9FFA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A258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6C4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可追溯</w:t>
            </w:r>
          </w:p>
        </w:tc>
        <w:tc>
          <w:tcPr>
            <w:tcW w:w="64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8DFD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通过第三方溯源评价</w:t>
            </w:r>
          </w:p>
        </w:tc>
      </w:tr>
      <w:tr w14:paraId="5ED8EF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2ED23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2423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GAP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2A9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6A33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B4A9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4318C0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4491E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0DE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36177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F087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CCC2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道地药材认证</w:t>
            </w:r>
          </w:p>
        </w:tc>
      </w:tr>
      <w:bookmarkEnd w:id="20"/>
    </w:tbl>
    <w:p w14:paraId="4AE20712">
      <w:pPr>
        <w:rPr>
          <w:rFonts w:ascii="黑体" w:hAnsi="黑体" w:eastAsia="黑体"/>
          <w:strike/>
          <w:color w:val="000000"/>
          <w:szCs w:val="21"/>
        </w:rPr>
      </w:pPr>
      <w:bookmarkStart w:id="23" w:name="_Toc5517"/>
      <w:bookmarkStart w:id="24" w:name="_Toc5990"/>
      <w:bookmarkStart w:id="25" w:name="_Toc29162"/>
      <w:bookmarkStart w:id="26" w:name="_Toc23232"/>
      <w:bookmarkStart w:id="27" w:name="_Toc17181"/>
      <w:bookmarkStart w:id="28" w:name="_Toc501701529"/>
      <w:bookmarkStart w:id="29" w:name="_Toc25235"/>
      <w:r>
        <w:rPr>
          <w:rFonts w:ascii="黑体" w:hAnsi="黑体" w:eastAsia="黑体"/>
          <w:strike/>
          <w:color w:val="000000"/>
          <w:szCs w:val="21"/>
        </w:rPr>
        <w:br w:type="page"/>
      </w:r>
    </w:p>
    <w:bookmarkEnd w:id="23"/>
    <w:bookmarkEnd w:id="24"/>
    <w:bookmarkEnd w:id="25"/>
    <w:bookmarkEnd w:id="26"/>
    <w:bookmarkEnd w:id="27"/>
    <w:bookmarkEnd w:id="28"/>
    <w:bookmarkEnd w:id="29"/>
    <w:p w14:paraId="4C4A0496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附录A</w:t>
      </w:r>
    </w:p>
    <w:p w14:paraId="3B3AB9D5">
      <w:pPr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jc w:val="center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（规范性附录）</w:t>
      </w:r>
    </w:p>
    <w:p w14:paraId="76E14405">
      <w:pPr>
        <w:pStyle w:val="3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center"/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东银花集采交易规格等级性状图</w:t>
      </w:r>
    </w:p>
    <w:p w14:paraId="1C98510F"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939790" cy="3864610"/>
            <wp:effectExtent l="0" t="0" r="3810" b="6350"/>
            <wp:docPr id="9" name="图片 9" descr="71-金银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1-金银花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86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4FAE2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图左一选货，图右一统货。</w:t>
      </w:r>
    </w:p>
    <w:p w14:paraId="7DAE1CA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图A1金银花规格等级性状图</w:t>
      </w:r>
    </w:p>
    <w:p w14:paraId="02121C6E">
      <w:pPr>
        <w:rPr>
          <w:rFonts w:hint="eastAsia" w:ascii="宋体" w:hAnsi="宋体" w:eastAsia="宋体" w:cs="宋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color w:val="000000"/>
          <w:sz w:val="21"/>
          <w:szCs w:val="21"/>
          <w:highlight w:val="none"/>
          <w:lang w:val="en-US" w:eastAsia="zh-CN"/>
        </w:rPr>
        <w:br w:type="page"/>
      </w:r>
    </w:p>
    <w:p w14:paraId="3CFF74F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黑体" w:hAnsi="黑体" w:eastAsia="黑体" w:cs="宋体"/>
          <w:szCs w:val="21"/>
        </w:rPr>
      </w:pPr>
      <w:bookmarkStart w:id="30" w:name="_Toc26118"/>
      <w:bookmarkStart w:id="31" w:name="_Toc25047693"/>
      <w:bookmarkStart w:id="32" w:name="_Toc27406"/>
      <w:bookmarkStart w:id="33" w:name="_Toc16858"/>
      <w:bookmarkStart w:id="34" w:name="_Toc15722"/>
      <w:bookmarkStart w:id="35" w:name="_Toc7443"/>
      <w:bookmarkStart w:id="36" w:name="_Toc9701"/>
      <w:bookmarkStart w:id="37" w:name="_Toc30293"/>
      <w:r>
        <w:rPr>
          <w:rFonts w:hint="eastAsia" w:ascii="黑体" w:hAnsi="黑体" w:eastAsia="黑体" w:cs="宋体"/>
          <w:szCs w:val="21"/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2FA9F6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74ED8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5E82E6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0E49B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6C7CF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4394D1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2B4C71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78C15C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29DD588A">
      <w:pPr>
        <w:rPr>
          <w:rFonts w:hint="eastAsia" w:eastAsia="宋体"/>
          <w:lang w:eastAsia="zh-CN"/>
        </w:rPr>
      </w:pPr>
    </w:p>
    <w:sectPr>
      <w:headerReference r:id="rId9" w:type="default"/>
      <w:footerReference r:id="rId11" w:type="default"/>
      <w:headerReference r:id="rId10" w:type="even"/>
      <w:footerReference r:id="rId12" w:type="even"/>
      <w:pgSz w:w="11906" w:h="16838"/>
      <w:pgMar w:top="1417" w:right="1134" w:bottom="1134" w:left="1417" w:header="1134" w:footer="850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B14E0F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102DFADA">
    <w:pPr>
      <w:pStyle w:val="3"/>
      <w:ind w:left="-283" w:leftChars="-135"/>
      <w:jc w:val="right"/>
    </w:pPr>
  </w:p>
  <w:p w14:paraId="4AABC58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301C236">
    <w:pPr>
      <w:pStyle w:val="3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581636A1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CDB14D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C8D7B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6747510</wp:posOffset>
              </wp:positionH>
              <wp:positionV relativeFrom="page">
                <wp:posOffset>9979025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CA069F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31.3pt;margin-top:785.7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auPsgNoAAAAPAQAADwAAAAAAAAABACAAAAAiAAAAZHJzL2Rvd25yZXYueG1sUEsB&#10;AhQAFAAAAAgAh07iQFBKG4S6AQAAcQ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2CA069F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0D5EA7EB">
        <w:pPr>
          <w:pStyle w:val="3"/>
          <w:rPr>
            <w:sz w:val="20"/>
            <w:szCs w:val="20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DF2355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8B026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98B026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82041">
    <w:pPr>
      <w:pStyle w:val="17"/>
      <w:jc w:val="left"/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E7B0E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QB/TfQBAAADBAAADgAAAGRycy9lMm9Eb2MueG1srVNNb9swDL0P2H8Q&#10;dF+cBOg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iQB/Tf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DE7B0E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B80E7D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866722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866722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37FB7A">
    <w:pPr>
      <w:pStyle w:val="4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0001.18-2024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3281F">
    <w:pPr>
      <w:pStyle w:val="4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0001.18-2024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  <w:docVar w:name="KSO_WPS_MARK_KEY" w:val="78d5292a-f0c0-4d59-aeea-ac924e72d338"/>
  </w:docVars>
  <w:rsids>
    <w:rsidRoot w:val="00172A27"/>
    <w:rsid w:val="07BC60B3"/>
    <w:rsid w:val="07D478A0"/>
    <w:rsid w:val="0B274888"/>
    <w:rsid w:val="0B4E0A53"/>
    <w:rsid w:val="0D295F98"/>
    <w:rsid w:val="0F32315B"/>
    <w:rsid w:val="0F4C583A"/>
    <w:rsid w:val="128371FD"/>
    <w:rsid w:val="147B46AB"/>
    <w:rsid w:val="1586245D"/>
    <w:rsid w:val="15B2766E"/>
    <w:rsid w:val="16384616"/>
    <w:rsid w:val="17E006B2"/>
    <w:rsid w:val="186662F2"/>
    <w:rsid w:val="1B2863A7"/>
    <w:rsid w:val="1B78507E"/>
    <w:rsid w:val="1C387FA6"/>
    <w:rsid w:val="20E93D5F"/>
    <w:rsid w:val="21F42BC1"/>
    <w:rsid w:val="22885DA6"/>
    <w:rsid w:val="23492C57"/>
    <w:rsid w:val="24253DF2"/>
    <w:rsid w:val="295403E9"/>
    <w:rsid w:val="2AE40968"/>
    <w:rsid w:val="2C31383F"/>
    <w:rsid w:val="39455658"/>
    <w:rsid w:val="3A254BAA"/>
    <w:rsid w:val="3D0125A8"/>
    <w:rsid w:val="3F070668"/>
    <w:rsid w:val="3F2B2B06"/>
    <w:rsid w:val="428112AB"/>
    <w:rsid w:val="49D50C3F"/>
    <w:rsid w:val="4BC25BB3"/>
    <w:rsid w:val="4C9A6DE5"/>
    <w:rsid w:val="4E1C64F6"/>
    <w:rsid w:val="4E4B6454"/>
    <w:rsid w:val="4E7C3473"/>
    <w:rsid w:val="4ED2127B"/>
    <w:rsid w:val="4F145070"/>
    <w:rsid w:val="5073598C"/>
    <w:rsid w:val="53782847"/>
    <w:rsid w:val="549903A5"/>
    <w:rsid w:val="54CF4008"/>
    <w:rsid w:val="556B21D1"/>
    <w:rsid w:val="58842AB7"/>
    <w:rsid w:val="595F389D"/>
    <w:rsid w:val="5ADE33C6"/>
    <w:rsid w:val="5C593045"/>
    <w:rsid w:val="5CAA6341"/>
    <w:rsid w:val="5D2D6150"/>
    <w:rsid w:val="5D4F6922"/>
    <w:rsid w:val="5DDF7B22"/>
    <w:rsid w:val="5F2F7901"/>
    <w:rsid w:val="5F8A1E93"/>
    <w:rsid w:val="6198016C"/>
    <w:rsid w:val="63B759FB"/>
    <w:rsid w:val="6655667C"/>
    <w:rsid w:val="66A717F9"/>
    <w:rsid w:val="68325CE2"/>
    <w:rsid w:val="69AA36AF"/>
    <w:rsid w:val="6CDE5AE0"/>
    <w:rsid w:val="6DFF4979"/>
    <w:rsid w:val="6E1D2124"/>
    <w:rsid w:val="70F15DA2"/>
    <w:rsid w:val="71D36D7A"/>
    <w:rsid w:val="73770B53"/>
    <w:rsid w:val="746F2FAE"/>
    <w:rsid w:val="7B391C97"/>
    <w:rsid w:val="7D0A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qFormat/>
    <w:uiPriority w:val="39"/>
    <w:pPr>
      <w:ind w:left="420" w:leftChars="200"/>
    </w:pPr>
  </w:style>
  <w:style w:type="paragraph" w:styleId="7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0">
    <w:name w:val="Hyperlink"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3116</Words>
  <Characters>3881</Characters>
  <Lines>0</Lines>
  <Paragraphs>0</Paragraphs>
  <TotalTime>0</TotalTime>
  <ScaleCrop>false</ScaleCrop>
  <LinksUpToDate>false</LinksUpToDate>
  <CharactersWithSpaces>3958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EFAF7BB487064EBFB03B92ED2B79973E_13</vt:lpwstr>
  </property>
</Properties>
</file>