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60D094">
      <w:pPr>
        <w:ind w:right="-313" w:rightChars="-149"/>
        <w:jc w:val="left"/>
        <w:rPr>
          <w:rFonts w:ascii="黑体" w:hAnsi="黑体" w:eastAsia="黑体"/>
          <w:bCs/>
          <w:color w:val="000000"/>
          <w:szCs w:val="21"/>
        </w:rPr>
      </w:pPr>
      <w:r>
        <w:rPr>
          <w:rFonts w:ascii="黑体" w:hAnsi="黑体" w:eastAsia="黑体"/>
          <w:bCs/>
          <w:color w:val="000000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>
                <wp:simplePos x="0" y="0"/>
                <wp:positionH relativeFrom="margin">
                  <wp:posOffset>-243205</wp:posOffset>
                </wp:positionH>
                <wp:positionV relativeFrom="margin">
                  <wp:posOffset>-405765</wp:posOffset>
                </wp:positionV>
                <wp:extent cx="1571625" cy="657860"/>
                <wp:effectExtent l="0" t="0" r="13335" b="12700"/>
                <wp:wrapNone/>
                <wp:docPr id="14" name="fmFram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657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DB1EB07">
                            <w:pPr>
                              <w:pStyle w:val="14"/>
                              <w:rPr>
                                <w:rFonts w:cs="黑体"/>
                              </w:rPr>
                            </w:pPr>
                            <w:r>
                              <w:rPr>
                                <w:rFonts w:cs="黑体"/>
                              </w:rPr>
                              <w:t xml:space="preserve">ICS </w:t>
                            </w:r>
                            <w:r>
                              <w:rPr>
                                <w:rFonts w:hint="eastAsia" w:cs="黑体"/>
                              </w:rPr>
                              <w:t>03</w:t>
                            </w:r>
                            <w:r>
                              <w:rPr>
                                <w:rFonts w:cs="黑体"/>
                              </w:rPr>
                              <w:t>.</w:t>
                            </w:r>
                            <w:r>
                              <w:rPr>
                                <w:rFonts w:hint="eastAsia" w:cs="黑体"/>
                              </w:rPr>
                              <w:t>120</w:t>
                            </w:r>
                            <w:r>
                              <w:rPr>
                                <w:rFonts w:cs="黑体"/>
                              </w:rPr>
                              <w:t>.</w:t>
                            </w:r>
                            <w:r>
                              <w:rPr>
                                <w:rFonts w:hint="eastAsia" w:cs="黑体"/>
                              </w:rPr>
                              <w:t>20</w:t>
                            </w:r>
                          </w:p>
                          <w:p w14:paraId="0BBB0AB2">
                            <w:pPr>
                              <w:pStyle w:val="14"/>
                              <w:rPr>
                                <w:rFonts w:cs="黑体"/>
                              </w:rPr>
                            </w:pPr>
                            <w:r>
                              <w:rPr>
                                <w:rFonts w:cs="黑体"/>
                              </w:rPr>
                              <w:t>A</w:t>
                            </w:r>
                            <w:r>
                              <w:rPr>
                                <w:rFonts w:hint="eastAsia" w:cs="黑体"/>
                              </w:rPr>
                              <w:t xml:space="preserve"> </w:t>
                            </w:r>
                            <w:r>
                              <w:rPr>
                                <w:rFonts w:cs="黑体"/>
                              </w:rPr>
                              <w:t>00</w:t>
                            </w:r>
                          </w:p>
                          <w:p w14:paraId="26D6CED7">
                            <w:pPr>
                              <w:pStyle w:val="14"/>
                              <w:rPr>
                                <w:rFonts w:cs="黑体"/>
                              </w:rPr>
                            </w:pPr>
                            <w:r>
                              <w:rPr>
                                <w:rFonts w:hint="eastAsia" w:cs="黑体"/>
                              </w:rPr>
                              <w:t>备案号：</w:t>
                            </w:r>
                            <w:r>
                              <w:rPr>
                                <w:rFonts w:cs="黑体"/>
                              </w:rPr>
                              <w:t>XXXX-XXXX</w:t>
                            </w:r>
                          </w:p>
                          <w:p w14:paraId="000B838B">
                            <w:pPr>
                              <w:pStyle w:val="14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mFrame1" o:spid="_x0000_s1026" o:spt="202" type="#_x0000_t202" style="position:absolute;left:0pt;margin-left:-19.15pt;margin-top:-31.95pt;height:51.8pt;width:123.75pt;mso-position-horizontal-relative:margin;mso-position-vertical-relative:margin;z-index:251663360;mso-width-relative:page;mso-height-relative:page;" fillcolor="#FFFFFF" filled="t" stroked="f" coordsize="21600,21600" o:gfxdata="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w99zi2gAAAAoBAAAPAAAAAAAA&#10;AAEAIAAAACIAAABkcnMvZG93bnJldi54bWxQSwECFAAUAAAACACHTuJApkXqbxACAAAsBAAADgAA&#10;AAAAAAABACAAAAApAQAAZHJzL2Uyb0RvYy54bWxQSwUGAAAAAAYABgBZAQAAqwUAAAAA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6DB1EB07">
                      <w:pPr>
                        <w:pStyle w:val="14"/>
                        <w:rPr>
                          <w:rFonts w:cs="黑体"/>
                        </w:rPr>
                      </w:pPr>
                      <w:r>
                        <w:rPr>
                          <w:rFonts w:cs="黑体"/>
                        </w:rPr>
                        <w:t xml:space="preserve">ICS </w:t>
                      </w:r>
                      <w:r>
                        <w:rPr>
                          <w:rFonts w:hint="eastAsia" w:cs="黑体"/>
                        </w:rPr>
                        <w:t>03</w:t>
                      </w:r>
                      <w:r>
                        <w:rPr>
                          <w:rFonts w:cs="黑体"/>
                        </w:rPr>
                        <w:t>.</w:t>
                      </w:r>
                      <w:r>
                        <w:rPr>
                          <w:rFonts w:hint="eastAsia" w:cs="黑体"/>
                        </w:rPr>
                        <w:t>120</w:t>
                      </w:r>
                      <w:r>
                        <w:rPr>
                          <w:rFonts w:cs="黑体"/>
                        </w:rPr>
                        <w:t>.</w:t>
                      </w:r>
                      <w:r>
                        <w:rPr>
                          <w:rFonts w:hint="eastAsia" w:cs="黑体"/>
                        </w:rPr>
                        <w:t>20</w:t>
                      </w:r>
                    </w:p>
                    <w:p w14:paraId="0BBB0AB2">
                      <w:pPr>
                        <w:pStyle w:val="14"/>
                        <w:rPr>
                          <w:rFonts w:cs="黑体"/>
                        </w:rPr>
                      </w:pPr>
                      <w:r>
                        <w:rPr>
                          <w:rFonts w:cs="黑体"/>
                        </w:rPr>
                        <w:t>A</w:t>
                      </w:r>
                      <w:r>
                        <w:rPr>
                          <w:rFonts w:hint="eastAsia" w:cs="黑体"/>
                        </w:rPr>
                        <w:t xml:space="preserve"> </w:t>
                      </w:r>
                      <w:r>
                        <w:rPr>
                          <w:rFonts w:cs="黑体"/>
                        </w:rPr>
                        <w:t>00</w:t>
                      </w:r>
                    </w:p>
                    <w:p w14:paraId="26D6CED7">
                      <w:pPr>
                        <w:pStyle w:val="14"/>
                        <w:rPr>
                          <w:rFonts w:cs="黑体"/>
                        </w:rPr>
                      </w:pPr>
                      <w:r>
                        <w:rPr>
                          <w:rFonts w:hint="eastAsia" w:cs="黑体"/>
                        </w:rPr>
                        <w:t>备案号：</w:t>
                      </w:r>
                      <w:r>
                        <w:rPr>
                          <w:rFonts w:cs="黑体"/>
                        </w:rPr>
                        <w:t>XXXX-XXXX</w:t>
                      </w:r>
                    </w:p>
                    <w:p w14:paraId="000B838B">
                      <w:pPr>
                        <w:pStyle w:val="14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47C085D0">
      <w:pPr>
        <w:jc w:val="left"/>
        <w:rPr>
          <w:rFonts w:ascii="宋体" w:hAnsi="宋体"/>
          <w:bCs/>
          <w:color w:val="000000"/>
          <w:sz w:val="32"/>
          <w:szCs w:val="32"/>
        </w:rPr>
      </w:pPr>
    </w:p>
    <w:p w14:paraId="780AD2C4">
      <w:pPr>
        <w:jc w:val="left"/>
        <w:rPr>
          <w:rFonts w:ascii="宋体" w:hAnsi="宋体"/>
          <w:bCs/>
          <w:color w:val="000000"/>
          <w:sz w:val="32"/>
          <w:szCs w:val="32"/>
        </w:rPr>
      </w:pPr>
      <w:r>
        <w:rPr>
          <w:rFonts w:ascii="宋体" w:hAnsi="宋体"/>
          <w:bCs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>
                <wp:simplePos x="0" y="0"/>
                <wp:positionH relativeFrom="margin">
                  <wp:posOffset>2696845</wp:posOffset>
                </wp:positionH>
                <wp:positionV relativeFrom="margin">
                  <wp:posOffset>-250825</wp:posOffset>
                </wp:positionV>
                <wp:extent cx="3232150" cy="588010"/>
                <wp:effectExtent l="0" t="0" r="13970" b="6350"/>
                <wp:wrapNone/>
                <wp:docPr id="1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2150" cy="588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9E06A0">
                            <w:pPr>
                              <w:pStyle w:val="14"/>
                              <w:rPr>
                                <w:rFonts w:ascii="Times New Roman" w:eastAsia="楷体_GB2312"/>
                                <w:spacing w:val="2"/>
                                <w:position w:val="6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hint="eastAsia" w:ascii="Times New Roman" w:eastAsia="楷体_GB2312"/>
                                <w:spacing w:val="2"/>
                                <w:position w:val="6"/>
                                <w:sz w:val="72"/>
                                <w:szCs w:val="72"/>
                              </w:rPr>
                              <w:t>T/ZGXCFZXH</w:t>
                            </w:r>
                            <w:r>
                              <w:rPr>
                                <w:rFonts w:ascii="Times New Roman" w:eastAsia="楷体_GB2312"/>
                                <w:spacing w:val="2"/>
                                <w:position w:val="6"/>
                                <w:sz w:val="72"/>
                                <w:szCs w:val="72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26" o:spt="202" type="#_x0000_t202" style="position:absolute;left:0pt;margin-left:212.35pt;margin-top:-19.75pt;height:46.3pt;width:254.5pt;mso-position-horizontal-relative:margin;mso-position-vertical-relative:margin;z-index:251659264;mso-width-relative:page;mso-height-relative:page;" fillcolor="#FFFFFF" filled="t" stroked="f" coordsize="21600,21600" o:gfxdata="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XUvke2gAAAAoBAAAPAAAAAAAA&#10;AAEAIAAAACIAAABkcnMvZG93bnJldi54bWxQSwECFAAUAAAACACHTuJAlzgVJhACAAAuBAAADgAA&#10;AAAAAAABACAAAAApAQAAZHJzL2Uyb0RvYy54bWxQSwUGAAAAAAYABgBZAQAAqwUAAAAA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7F9E06A0">
                      <w:pPr>
                        <w:pStyle w:val="14"/>
                        <w:rPr>
                          <w:rFonts w:ascii="Times New Roman" w:eastAsia="楷体_GB2312"/>
                          <w:spacing w:val="2"/>
                          <w:position w:val="6"/>
                          <w:sz w:val="72"/>
                          <w:szCs w:val="72"/>
                        </w:rPr>
                      </w:pPr>
                      <w:r>
                        <w:rPr>
                          <w:rFonts w:hint="eastAsia" w:ascii="Times New Roman" w:eastAsia="楷体_GB2312"/>
                          <w:spacing w:val="2"/>
                          <w:position w:val="6"/>
                          <w:sz w:val="72"/>
                          <w:szCs w:val="72"/>
                        </w:rPr>
                        <w:t>T/ZGXCFZXH</w:t>
                      </w:r>
                      <w:r>
                        <w:rPr>
                          <w:rFonts w:ascii="Times New Roman" w:eastAsia="楷体_GB2312"/>
                          <w:spacing w:val="2"/>
                          <w:position w:val="6"/>
                          <w:sz w:val="72"/>
                          <w:szCs w:val="72"/>
                        </w:rPr>
                        <w:t>B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8F7C437">
      <w:pPr>
        <w:jc w:val="left"/>
        <w:rPr>
          <w:rFonts w:ascii="宋体" w:hAnsi="宋体"/>
          <w:bCs/>
          <w:color w:val="000000"/>
          <w:sz w:val="32"/>
          <w:szCs w:val="32"/>
        </w:rPr>
      </w:pPr>
      <w:r>
        <w:rPr>
          <w:rFonts w:ascii="宋体" w:hAnsi="宋体"/>
          <w:bCs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-225425</wp:posOffset>
                </wp:positionH>
                <wp:positionV relativeFrom="paragraph">
                  <wp:posOffset>370840</wp:posOffset>
                </wp:positionV>
                <wp:extent cx="6120130" cy="0"/>
                <wp:effectExtent l="0" t="4445" r="0" b="5080"/>
                <wp:wrapNone/>
                <wp:docPr id="12" name="AutoShap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20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6" o:spid="_x0000_s1026" o:spt="32" type="#_x0000_t32" style="position:absolute;left:0pt;margin-left:-17.75pt;margin-top:29.2pt;height:0pt;width:481.9pt;z-index:251662336;mso-width-relative:page;mso-height-relative:page;" filled="f" stroked="t" coordsize="21600,21600" o:gfxdata="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04t4f1wAAAAkBAAAPAAAAAAAAAAEAIAAA&#10;ACIAAABkcnMvZG93bnJldi54bWxQSwECFAAUAAAACACHTuJAX3Y5/dQBAACzAwAADgAAAAAAAAAB&#10;ACAAAAAmAQAAZHJzL2Uyb0RvYy54bWxQSwUGAAAAAAYABgBZAQAAbA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/>
          <w:bCs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>
                <wp:simplePos x="0" y="0"/>
                <wp:positionH relativeFrom="margin">
                  <wp:posOffset>-243205</wp:posOffset>
                </wp:positionH>
                <wp:positionV relativeFrom="margin">
                  <wp:posOffset>456565</wp:posOffset>
                </wp:positionV>
                <wp:extent cx="6120130" cy="391160"/>
                <wp:effectExtent l="0" t="0" r="6350" b="5080"/>
                <wp:wrapNone/>
                <wp:docPr id="11" name="fmFram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391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1645BE">
                            <w:pPr>
                              <w:pStyle w:val="15"/>
                              <w:rPr>
                                <w:spacing w:val="0"/>
                                <w:w w:val="120"/>
                                <w:szCs w:val="48"/>
                              </w:rPr>
                            </w:pPr>
                            <w:r>
                              <w:rPr>
                                <w:rFonts w:hint="eastAsia"/>
                                <w:spacing w:val="0"/>
                                <w:w w:val="120"/>
                                <w:szCs w:val="48"/>
                                <w:lang w:val="en-US" w:eastAsia="zh-CN"/>
                              </w:rPr>
                              <w:t>中国乡村发展协会团体</w:t>
                            </w:r>
                            <w:r>
                              <w:rPr>
                                <w:rFonts w:hint="eastAsia"/>
                                <w:spacing w:val="0"/>
                                <w:w w:val="120"/>
                                <w:szCs w:val="48"/>
                              </w:rPr>
                              <w:t>标准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mFrame2" o:spid="_x0000_s1026" o:spt="202" type="#_x0000_t202" style="position:absolute;left:0pt;margin-left:-19.15pt;margin-top:35.95pt;height:30.8pt;width:481.9pt;mso-position-horizontal-relative:margin;mso-position-vertical-relative:margin;z-index:251660288;mso-width-relative:page;mso-height-relative:page;" fillcolor="#FFFFFF" filled="t" stroked="f" coordsize="21600,21600" o:gfxdata="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+Z833toAAAAKAQAADwAAAAAAAAAB&#10;ACAAAAAiAAAAZHJzL2Rvd25yZXYueG1sUEsBAhQAFAAAAAgAh07iQL3j9esOAgAALAQAAA4AAAAA&#10;AAAAAQAgAAAAKQEAAGRycy9lMm9Eb2MueG1sUEsFBgAAAAAGAAYAWQEAAKkFAAAAAA=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591645BE">
                      <w:pPr>
                        <w:pStyle w:val="15"/>
                        <w:rPr>
                          <w:spacing w:val="0"/>
                          <w:w w:val="120"/>
                          <w:szCs w:val="48"/>
                        </w:rPr>
                      </w:pPr>
                      <w:r>
                        <w:rPr>
                          <w:rFonts w:hint="eastAsia"/>
                          <w:spacing w:val="0"/>
                          <w:w w:val="120"/>
                          <w:szCs w:val="48"/>
                          <w:lang w:val="en-US" w:eastAsia="zh-CN"/>
                        </w:rPr>
                        <w:t>中国乡村发展协会团体</w:t>
                      </w:r>
                      <w:r>
                        <w:rPr>
                          <w:rFonts w:hint="eastAsia"/>
                          <w:spacing w:val="0"/>
                          <w:w w:val="120"/>
                          <w:szCs w:val="48"/>
                        </w:rPr>
                        <w:t>标准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D19AE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268" w:after="567"/>
        <w:jc w:val="center"/>
        <w:textAlignment w:val="auto"/>
        <w:rPr>
          <w:rFonts w:hint="eastAsia" w:ascii="黑体" w:hAnsi="黑体" w:eastAsia="黑体"/>
          <w:bCs/>
          <w:color w:val="000000"/>
          <w:sz w:val="52"/>
          <w:szCs w:val="52"/>
          <w:lang w:val="en-US" w:eastAsia="zh-CN"/>
        </w:rPr>
      </w:pPr>
      <w:r>
        <w:rPr>
          <w:rFonts w:ascii="宋体" w:hAnsi="宋体"/>
          <w:bCs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1" layoutInCell="1" allowOverlap="1">
                <wp:simplePos x="0" y="0"/>
                <wp:positionH relativeFrom="margin">
                  <wp:posOffset>-243205</wp:posOffset>
                </wp:positionH>
                <wp:positionV relativeFrom="margin">
                  <wp:posOffset>847090</wp:posOffset>
                </wp:positionV>
                <wp:extent cx="6128385" cy="469265"/>
                <wp:effectExtent l="0" t="0" r="13335" b="3175"/>
                <wp:wrapNone/>
                <wp:docPr id="10" name="fmFrame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838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FE5A11C">
                            <w:pPr>
                              <w:pStyle w:val="16"/>
                              <w:spacing w:before="156" w:after="156"/>
                              <w:rPr>
                                <w:rFonts w:hint="default" w:ascii="黑体" w:hAnsi="黑体" w:eastAsia="黑体"/>
                                <w:lang w:val="en-US" w:eastAsia="zh-CN"/>
                              </w:rPr>
                            </w:pPr>
                            <w:r>
                              <w:rPr>
                                <w:rFonts w:ascii="黑体" w:hAnsi="黑体" w:eastAsia="黑体"/>
                              </w:rPr>
                              <w:t>T</w:t>
                            </w:r>
                            <w:r>
                              <w:rPr>
                                <w:rFonts w:hint="eastAsia" w:ascii="黑体" w:hAnsi="黑体" w:eastAsia="黑体"/>
                              </w:rPr>
                              <w:t>/ZGXCFZXH</w:t>
                            </w:r>
                            <w:r>
                              <w:rPr>
                                <w:rFonts w:ascii="黑体" w:hAnsi="黑体" w:eastAsia="黑体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黑体" w:hAnsi="黑体" w:eastAsia="黑体"/>
                                <w:lang w:val="en-US" w:eastAsia="zh-CN"/>
                              </w:rPr>
                              <w:t>0001.31-2024</w:t>
                            </w:r>
                          </w:p>
                          <w:p w14:paraId="4CAF03EB">
                            <w:pPr>
                              <w:pStyle w:val="16"/>
                              <w:rPr>
                                <w:rFonts w:ascii="黑体" w:hAnsi="黑体" w:eastAsia="黑体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mFrame3" o:spid="_x0000_s1026" o:spt="202" type="#_x0000_t202" style="position:absolute;left:0pt;margin-left:-19.15pt;margin-top:66.7pt;height:36.95pt;width:482.55pt;mso-position-horizontal-relative:margin;mso-position-vertical-relative:margin;z-index:251661312;mso-width-relative:page;mso-height-relative:page;" fillcolor="#FFFFFF" filled="t" stroked="f" coordsize="21600,21600" o:gfxdata="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Mh9WvdoAAAALAQAADwAAAAAA&#10;AAABACAAAAAiAAAAZHJzL2Rvd25yZXYueG1sUEsBAhQAFAAAAAgAh07iQFJx1CARAgAALAQAAA4A&#10;AAAAAAAAAQAgAAAAKQEAAGRycy9lMm9Eb2MueG1sUEsFBgAAAAAGAAYAWQEAAKwFAAAAAA=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0FE5A11C">
                      <w:pPr>
                        <w:pStyle w:val="16"/>
                        <w:spacing w:before="156" w:after="156"/>
                        <w:rPr>
                          <w:rFonts w:hint="default" w:ascii="黑体" w:hAnsi="黑体" w:eastAsia="黑体"/>
                          <w:lang w:val="en-US" w:eastAsia="zh-CN"/>
                        </w:rPr>
                      </w:pPr>
                      <w:r>
                        <w:rPr>
                          <w:rFonts w:ascii="黑体" w:hAnsi="黑体" w:eastAsia="黑体"/>
                        </w:rPr>
                        <w:t>T</w:t>
                      </w:r>
                      <w:r>
                        <w:rPr>
                          <w:rFonts w:hint="eastAsia" w:ascii="黑体" w:hAnsi="黑体" w:eastAsia="黑体"/>
                        </w:rPr>
                        <w:t>/ZGXCFZXH</w:t>
                      </w:r>
                      <w:r>
                        <w:rPr>
                          <w:rFonts w:ascii="黑体" w:hAnsi="黑体" w:eastAsia="黑体"/>
                        </w:rPr>
                        <w:t xml:space="preserve"> </w:t>
                      </w:r>
                      <w:r>
                        <w:rPr>
                          <w:rFonts w:hint="eastAsia" w:ascii="黑体" w:hAnsi="黑体" w:eastAsia="黑体"/>
                          <w:lang w:val="en-US" w:eastAsia="zh-CN"/>
                        </w:rPr>
                        <w:t>0001.31-2024</w:t>
                      </w:r>
                    </w:p>
                    <w:p w14:paraId="4CAF03EB">
                      <w:pPr>
                        <w:pStyle w:val="16"/>
                        <w:rPr>
                          <w:rFonts w:ascii="黑体" w:hAnsi="黑体" w:eastAsia="黑体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hint="eastAsia" w:ascii="黑体" w:hAnsi="黑体" w:eastAsia="黑体"/>
          <w:bCs/>
          <w:color w:val="000000"/>
          <w:sz w:val="52"/>
          <w:szCs w:val="52"/>
          <w:lang w:val="en-US" w:eastAsia="zh-CN"/>
        </w:rPr>
        <w:t>道地</w:t>
      </w:r>
      <w:r>
        <w:rPr>
          <w:rFonts w:hint="eastAsia" w:ascii="黑体" w:hAnsi="黑体" w:eastAsia="黑体"/>
          <w:bCs/>
          <w:color w:val="000000"/>
          <w:sz w:val="52"/>
          <w:szCs w:val="52"/>
        </w:rPr>
        <w:t>药材集采交易标准</w:t>
      </w:r>
      <w:r>
        <w:rPr>
          <w:rFonts w:hint="eastAsia" w:ascii="黑体" w:hAnsi="黑体" w:eastAsia="黑体"/>
          <w:bCs/>
          <w:color w:val="000000"/>
          <w:sz w:val="52"/>
          <w:szCs w:val="52"/>
          <w:lang w:val="en-US" w:eastAsia="zh-CN"/>
        </w:rPr>
        <w:t xml:space="preserve"> 江枳实</w:t>
      </w:r>
    </w:p>
    <w:p w14:paraId="22FA1EFD">
      <w:pPr>
        <w:spacing w:before="312" w:beforeLines="100" w:after="312" w:afterLines="100"/>
        <w:jc w:val="center"/>
        <w:rPr>
          <w:rFonts w:hint="eastAsia" w:ascii="黑体" w:hAnsi="黑体" w:eastAsia="黑体" w:cs="黑体"/>
          <w:bCs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bCs/>
          <w:color w:val="000000"/>
          <w:sz w:val="28"/>
          <w:szCs w:val="28"/>
        </w:rPr>
        <w:t xml:space="preserve">Centralized procurement standard </w:t>
      </w:r>
      <w:r>
        <w:rPr>
          <w:rFonts w:hint="eastAsia" w:ascii="黑体" w:hAnsi="黑体" w:eastAsia="黑体" w:cs="黑体"/>
          <w:bCs/>
          <w:color w:val="000000"/>
          <w:sz w:val="28"/>
          <w:szCs w:val="28"/>
          <w:lang w:val="en-US" w:eastAsia="zh-CN"/>
        </w:rPr>
        <w:t>for</w:t>
      </w:r>
      <w:r>
        <w:rPr>
          <w:rFonts w:hint="eastAsia" w:ascii="黑体" w:hAnsi="黑体" w:eastAsia="黑体" w:cs="黑体"/>
          <w:bCs/>
          <w:color w:val="000000"/>
          <w:sz w:val="28"/>
          <w:szCs w:val="28"/>
        </w:rPr>
        <w:t xml:space="preserve"> </w:t>
      </w:r>
      <w:r>
        <w:rPr>
          <w:rFonts w:hint="eastAsia" w:ascii="黑体" w:hAnsi="黑体" w:eastAsia="黑体" w:cs="黑体"/>
          <w:bCs/>
          <w:color w:val="000000"/>
          <w:sz w:val="28"/>
          <w:szCs w:val="28"/>
          <w:lang w:val="en-US" w:eastAsia="zh-CN"/>
        </w:rPr>
        <w:t>genuine regional</w:t>
      </w:r>
      <w:r>
        <w:rPr>
          <w:rFonts w:hint="eastAsia" w:ascii="黑体" w:hAnsi="黑体" w:eastAsia="黑体" w:cs="黑体"/>
          <w:bCs/>
          <w:color w:val="000000"/>
          <w:sz w:val="28"/>
          <w:szCs w:val="28"/>
        </w:rPr>
        <w:t xml:space="preserve"> materia medica</w:t>
      </w:r>
    </w:p>
    <w:p w14:paraId="5814B9C8">
      <w:pPr>
        <w:spacing w:before="312" w:beforeLines="100" w:after="312" w:afterLines="100"/>
        <w:jc w:val="center"/>
        <w:rPr>
          <w:rFonts w:hint="default" w:ascii="黑体" w:hAnsi="黑体" w:eastAsia="黑体" w:cs="黑体"/>
          <w:bCs/>
          <w:color w:val="000000"/>
          <w:sz w:val="28"/>
          <w:szCs w:val="28"/>
          <w:lang w:val="en-US" w:eastAsia="zh-CN"/>
        </w:rPr>
      </w:pPr>
      <w:r>
        <w:rPr>
          <w:rFonts w:hint="default" w:ascii="黑体" w:hAnsi="黑体" w:eastAsia="黑体" w:cs="黑体"/>
          <w:bCs/>
          <w:color w:val="000000"/>
          <w:sz w:val="28"/>
          <w:szCs w:val="28"/>
          <w:lang w:val="en-US" w:eastAsia="zh-CN"/>
        </w:rPr>
        <w:t>AURANTII FRUCTUS IMMATURUS</w:t>
      </w:r>
    </w:p>
    <w:p w14:paraId="369B1309">
      <w:pPr>
        <w:spacing w:before="312" w:beforeLines="100" w:after="312" w:afterLines="100"/>
        <w:jc w:val="center"/>
        <w:rPr>
          <w:rFonts w:hint="eastAsia" w:ascii="黑体" w:hAnsi="黑体" w:eastAsia="黑体" w:cs="黑体"/>
          <w:bCs/>
          <w:color w:val="000000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bCs/>
          <w:color w:val="000000"/>
          <w:sz w:val="28"/>
          <w:szCs w:val="28"/>
          <w:lang w:eastAsia="zh-CN"/>
        </w:rPr>
        <w:t>（</w:t>
      </w:r>
      <w:r>
        <w:rPr>
          <w:rFonts w:hint="eastAsia" w:ascii="黑体" w:hAnsi="黑体" w:eastAsia="黑体" w:cs="黑体"/>
          <w:bCs/>
          <w:color w:val="000000"/>
          <w:sz w:val="28"/>
          <w:szCs w:val="28"/>
          <w:lang w:val="en-US" w:eastAsia="zh-CN"/>
        </w:rPr>
        <w:t>征求意见稿</w:t>
      </w:r>
      <w:r>
        <w:rPr>
          <w:rFonts w:hint="eastAsia" w:ascii="黑体" w:hAnsi="黑体" w:eastAsia="黑体" w:cs="黑体"/>
          <w:bCs/>
          <w:color w:val="000000"/>
          <w:sz w:val="28"/>
          <w:szCs w:val="28"/>
          <w:lang w:eastAsia="zh-CN"/>
        </w:rPr>
        <w:t>）</w:t>
      </w:r>
    </w:p>
    <w:p w14:paraId="22CDDAC7">
      <w:pPr>
        <w:spacing w:before="312" w:beforeLines="100" w:after="312" w:afterLines="100"/>
        <w:jc w:val="center"/>
        <w:rPr>
          <w:rFonts w:ascii="Times New Roman" w:hAnsi="Times New Roman" w:eastAsia="黑体"/>
          <w:bCs/>
          <w:sz w:val="28"/>
          <w:szCs w:val="28"/>
        </w:rPr>
      </w:pPr>
      <w:bookmarkStart w:id="30" w:name="_GoBack"/>
      <w:bookmarkEnd w:id="30"/>
      <w:r>
        <w:rPr>
          <w:rFonts w:ascii="Times New Roman" w:hAnsi="Times New Roman" w:eastAsia="黑体"/>
          <w:bCs/>
          <w:sz w:val="28"/>
          <w:szCs w:val="28"/>
        </w:rPr>
        <w:t xml:space="preserve"> </w:t>
      </w:r>
    </w:p>
    <w:p w14:paraId="66891C9A">
      <w:pPr>
        <w:jc w:val="center"/>
        <w:rPr>
          <w:rFonts w:ascii="宋体" w:hAnsi="宋体"/>
          <w:bCs/>
          <w:color w:val="FF0000"/>
          <w:sz w:val="24"/>
        </w:rPr>
      </w:pPr>
    </w:p>
    <w:p w14:paraId="40CBB73B">
      <w:pPr>
        <w:rPr>
          <w:rFonts w:ascii="宋体" w:hAnsi="宋体"/>
          <w:bCs/>
          <w:color w:val="000000"/>
          <w:sz w:val="36"/>
          <w:szCs w:val="36"/>
        </w:rPr>
      </w:pPr>
    </w:p>
    <w:p w14:paraId="430AB00F">
      <w:pPr>
        <w:pStyle w:val="10"/>
        <w:framePr w:wrap="around" w:vAnchor="margin" w:yAlign="top"/>
        <w:ind w:left="5250" w:right="280"/>
        <w:rPr>
          <w:color w:val="000000"/>
        </w:rPr>
      </w:pPr>
    </w:p>
    <w:p w14:paraId="56BF8B1C">
      <w:pPr>
        <w:rPr>
          <w:rFonts w:ascii="宋体" w:hAnsi="宋体"/>
          <w:bCs/>
          <w:color w:val="000000"/>
          <w:sz w:val="36"/>
          <w:szCs w:val="36"/>
        </w:rPr>
      </w:pPr>
      <w:r>
        <w:rPr>
          <w:rFonts w:ascii="宋体" w:hAnsi="宋体"/>
          <w:bCs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>
                <wp:simplePos x="0" y="0"/>
                <wp:positionH relativeFrom="margin">
                  <wp:posOffset>23495</wp:posOffset>
                </wp:positionH>
                <wp:positionV relativeFrom="margin">
                  <wp:posOffset>8399145</wp:posOffset>
                </wp:positionV>
                <wp:extent cx="5535930" cy="688975"/>
                <wp:effectExtent l="0" t="0" r="11430" b="12065"/>
                <wp:wrapNone/>
                <wp:docPr id="8" name="fmFrame7" descr="文本框: 中华人民共和国国家质量监督检验检疫总局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5930" cy="688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7"/>
                              <w:tblW w:w="9399" w:type="dxa"/>
                              <w:tblInd w:w="0" w:type="dxa"/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7984"/>
                              <w:gridCol w:w="1415"/>
                            </w:tblGrid>
                            <w:tr w14:paraId="433BD4F2"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1078" w:hRule="atLeast"/>
                              </w:trPr>
                              <w:tc>
                                <w:tcPr>
                                  <w:tcW w:w="798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A386C36">
                                  <w:pPr>
                                    <w:pStyle w:val="17"/>
                                    <w:rPr>
                                      <w:rFonts w:hint="eastAsia" w:ascii="黑体" w:hAnsi="黑体" w:eastAsia="黑体"/>
                                      <w:b w:val="0"/>
                                      <w:szCs w:val="28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/>
                                      <w:b w:val="0"/>
                                      <w:szCs w:val="28"/>
                                      <w:lang w:val="en-US" w:eastAsia="zh-CN"/>
                                    </w:rPr>
                                    <w:t>中国乡村发展协会</w:t>
                                  </w:r>
                                </w:p>
                              </w:tc>
                              <w:tc>
                                <w:tcPr>
                                  <w:tcW w:w="14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vAlign w:val="center"/>
                                </w:tcPr>
                                <w:p w14:paraId="5EF70766">
                                  <w:pPr>
                                    <w:pStyle w:val="17"/>
                                    <w:jc w:val="left"/>
                                    <w:rPr>
                                      <w:rFonts w:ascii="黑体" w:hAnsi="黑体" w:eastAsia="黑体"/>
                                      <w:b w:val="0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/>
                                      <w:b w:val="0"/>
                                      <w:szCs w:val="28"/>
                                    </w:rPr>
                                    <w:t>发布</w:t>
                                  </w:r>
                                </w:p>
                              </w:tc>
                            </w:tr>
                          </w:tbl>
                          <w:p w14:paraId="16BCEE64">
                            <w:pPr>
                              <w:jc w:val="lef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mFrame7" o:spid="_x0000_s1026" o:spt="202" alt="文本框: 中华人民共和国国家质量监督检验检疫总局" type="#_x0000_t202" style="position:absolute;left:0pt;margin-left:1.85pt;margin-top:661.35pt;height:54.25pt;width:435.9pt;mso-position-horizontal-relative:margin;mso-position-vertical-relative:margin;z-index:251665408;mso-width-relative:page;mso-height-relative:page;" fillcolor="#FFFFFF" filled="t" stroked="f" coordsize="21600,21600" o:gfxdata="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QUNEkNoAAAALAQAADwAAAAAAAAABACAAAAAi&#10;AAAAZHJzL2Rvd25yZXYueG1sUEsBAhQAFAAAAAgAh07iQDAEvJV6AgAAeAQAAA4AAAAAAAAAAQAg&#10;AAAAKQEAAGRycy9lMm9Eb2MueG1sUEsFBgAAAAAGAAYAWQEAABUGAAAAAA=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7"/>
                        <w:tblW w:w="9399" w:type="dxa"/>
                        <w:tblInd w:w="0" w:type="dxa"/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7984"/>
                        <w:gridCol w:w="1415"/>
                      </w:tblGrid>
                      <w:tr w14:paraId="433BD4F2"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1078" w:hRule="atLeast"/>
                        </w:trPr>
                        <w:tc>
                          <w:tcPr>
                            <w:tcW w:w="798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A386C36">
                            <w:pPr>
                              <w:pStyle w:val="17"/>
                              <w:rPr>
                                <w:rFonts w:hint="eastAsia" w:ascii="黑体" w:hAnsi="黑体" w:eastAsia="黑体"/>
                                <w:b w:val="0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/>
                                <w:b w:val="0"/>
                                <w:szCs w:val="28"/>
                                <w:lang w:val="en-US" w:eastAsia="zh-CN"/>
                              </w:rPr>
                              <w:t>中国乡村发展协会</w:t>
                            </w:r>
                          </w:p>
                        </w:tc>
                        <w:tc>
                          <w:tcPr>
                            <w:tcW w:w="14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vAlign w:val="center"/>
                          </w:tcPr>
                          <w:p w14:paraId="5EF70766">
                            <w:pPr>
                              <w:pStyle w:val="17"/>
                              <w:jc w:val="left"/>
                              <w:rPr>
                                <w:rFonts w:ascii="黑体" w:hAnsi="黑体" w:eastAsia="黑体"/>
                                <w:b w:val="0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/>
                                <w:b w:val="0"/>
                                <w:szCs w:val="28"/>
                              </w:rPr>
                              <w:t>发布</w:t>
                            </w:r>
                          </w:p>
                        </w:tc>
                      </w:tr>
                    </w:tbl>
                    <w:p w14:paraId="16BCEE64">
                      <w:pPr>
                        <w:jc w:val="lef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ascii="宋体" w:hAnsi="宋体"/>
          <w:bCs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1" layoutInCell="1" allowOverlap="1">
                <wp:simplePos x="0" y="0"/>
                <wp:positionH relativeFrom="margin">
                  <wp:posOffset>4060190</wp:posOffset>
                </wp:positionH>
                <wp:positionV relativeFrom="margin">
                  <wp:posOffset>8014970</wp:posOffset>
                </wp:positionV>
                <wp:extent cx="1845945" cy="312420"/>
                <wp:effectExtent l="0" t="0" r="13335" b="7620"/>
                <wp:wrapNone/>
                <wp:docPr id="15" name="fmFrame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5945" cy="312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45D684E">
                            <w:pPr>
                              <w:pStyle w:val="11"/>
                              <w:jc w:val="right"/>
                              <w:rPr>
                                <w:rFonts w:ascii="黑体" w:hAnsi="黑体"/>
                              </w:rPr>
                            </w:pPr>
                            <w:r>
                              <w:rPr>
                                <w:rFonts w:hint="eastAsia" w:ascii="黑体" w:hAnsi="黑体" w:cs="黑体"/>
                              </w:rPr>
                              <w:t>20</w:t>
                            </w:r>
                            <w:r>
                              <w:rPr>
                                <w:rFonts w:hint="eastAsia" w:ascii="黑体" w:hAnsi="黑体" w:cs="黑体"/>
                                <w:lang w:val="en-US" w:eastAsia="zh-CN"/>
                              </w:rPr>
                              <w:t>24</w:t>
                            </w:r>
                            <w:r>
                              <w:rPr>
                                <w:rFonts w:ascii="黑体" w:hAnsi="黑体"/>
                              </w:rPr>
                              <w:t>-</w:t>
                            </w:r>
                            <w:r>
                              <w:rPr>
                                <w:rFonts w:hint="eastAsia" w:ascii="黑体" w:hAnsi="黑体" w:cs="黑体"/>
                              </w:rPr>
                              <w:t>××</w:t>
                            </w:r>
                            <w:r>
                              <w:rPr>
                                <w:rFonts w:ascii="黑体" w:hAnsi="黑体"/>
                              </w:rPr>
                              <w:t>-</w:t>
                            </w:r>
                            <w:r>
                              <w:rPr>
                                <w:rFonts w:hint="eastAsia" w:ascii="黑体" w:hAnsi="黑体" w:cs="黑体"/>
                              </w:rPr>
                              <w:t>××实施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mFrame5" o:spid="_x0000_s1026" o:spt="202" type="#_x0000_t202" style="position:absolute;left:0pt;margin-left:319.7pt;margin-top:631.1pt;height:24.6pt;width:145.35pt;mso-position-horizontal-relative:margin;mso-position-vertical-relative:margin;z-index:251667456;mso-width-relative:page;mso-height-relative:page;" fillcolor="#FFFFFF" filled="t" stroked="f" coordsize="21600,21600" o:gfxdata="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GRNfoPaAAAADQEAAA8AAAAAAAAA&#10;AQAgAAAAIgAAAGRycy9kb3ducmV2LnhtbFBLAQIUABQAAAAIAIdO4kAsVg33DwIAACwEAAAOAAAA&#10;AAAAAAEAIAAAACkBAABkcnMvZTJvRG9jLnhtbFBLBQYAAAAABgAGAFkBAACqBQAAAAA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445D684E">
                      <w:pPr>
                        <w:pStyle w:val="11"/>
                        <w:jc w:val="right"/>
                        <w:rPr>
                          <w:rFonts w:ascii="黑体" w:hAnsi="黑体"/>
                        </w:rPr>
                      </w:pPr>
                      <w:r>
                        <w:rPr>
                          <w:rFonts w:hint="eastAsia" w:ascii="黑体" w:hAnsi="黑体" w:cs="黑体"/>
                        </w:rPr>
                        <w:t>20</w:t>
                      </w:r>
                      <w:r>
                        <w:rPr>
                          <w:rFonts w:hint="eastAsia" w:ascii="黑体" w:hAnsi="黑体" w:cs="黑体"/>
                          <w:lang w:val="en-US" w:eastAsia="zh-CN"/>
                        </w:rPr>
                        <w:t>24</w:t>
                      </w:r>
                      <w:r>
                        <w:rPr>
                          <w:rFonts w:ascii="黑体" w:hAnsi="黑体"/>
                        </w:rPr>
                        <w:t>-</w:t>
                      </w:r>
                      <w:r>
                        <w:rPr>
                          <w:rFonts w:hint="eastAsia" w:ascii="黑体" w:hAnsi="黑体" w:cs="黑体"/>
                        </w:rPr>
                        <w:t>××</w:t>
                      </w:r>
                      <w:r>
                        <w:rPr>
                          <w:rFonts w:ascii="黑体" w:hAnsi="黑体"/>
                        </w:rPr>
                        <w:t>-</w:t>
                      </w:r>
                      <w:r>
                        <w:rPr>
                          <w:rFonts w:hint="eastAsia" w:ascii="黑体" w:hAnsi="黑体" w:cs="黑体"/>
                        </w:rPr>
                        <w:t>××实施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ascii="宋体" w:hAnsi="宋体"/>
          <w:bCs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4384" behindDoc="0" locked="1" layoutInCell="1" allowOverlap="1">
                <wp:simplePos x="0" y="0"/>
                <wp:positionH relativeFrom="margin">
                  <wp:posOffset>17780</wp:posOffset>
                </wp:positionH>
                <wp:positionV relativeFrom="margin">
                  <wp:posOffset>8009255</wp:posOffset>
                </wp:positionV>
                <wp:extent cx="1823720" cy="312420"/>
                <wp:effectExtent l="0" t="0" r="5080" b="7620"/>
                <wp:wrapNone/>
                <wp:docPr id="7" name="fmFrame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3720" cy="312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6D1FEE">
                            <w:pPr>
                              <w:pStyle w:val="11"/>
                              <w:rPr>
                                <w:rFonts w:ascii="黑体" w:hAnsi="黑体"/>
                              </w:rPr>
                            </w:pPr>
                            <w:r>
                              <w:rPr>
                                <w:rFonts w:hint="eastAsia" w:ascii="黑体" w:hAnsi="黑体" w:cs="黑体"/>
                              </w:rPr>
                              <w:t>20</w:t>
                            </w:r>
                            <w:r>
                              <w:rPr>
                                <w:rFonts w:hint="eastAsia" w:ascii="黑体" w:hAnsi="黑体" w:cs="黑体"/>
                                <w:lang w:val="en-US" w:eastAsia="zh-CN"/>
                              </w:rPr>
                              <w:t>24</w:t>
                            </w:r>
                            <w:r>
                              <w:rPr>
                                <w:rFonts w:ascii="黑体" w:hAnsi="黑体"/>
                              </w:rPr>
                              <w:t>-</w:t>
                            </w:r>
                            <w:r>
                              <w:rPr>
                                <w:rFonts w:hint="eastAsia" w:ascii="黑体" w:hAnsi="黑体" w:cs="黑体"/>
                              </w:rPr>
                              <w:t>××</w:t>
                            </w:r>
                            <w:r>
                              <w:rPr>
                                <w:rFonts w:ascii="黑体" w:hAnsi="黑体"/>
                              </w:rPr>
                              <w:t>-</w:t>
                            </w:r>
                            <w:r>
                              <w:rPr>
                                <w:rFonts w:hint="eastAsia" w:ascii="黑体" w:hAnsi="黑体" w:cs="黑体"/>
                              </w:rPr>
                              <w:t>××发布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mFrame5" o:spid="_x0000_s1026" o:spt="202" type="#_x0000_t202" style="position:absolute;left:0pt;margin-left:1.4pt;margin-top:630.65pt;height:24.6pt;width:143.6pt;mso-position-horizontal-relative:margin;mso-position-vertical-relative:margin;z-index:251664384;mso-width-relative:page;mso-height-relative:page;" fillcolor="#FFFFFF" filled="t" stroked="f" coordsize="21600,21600" o:gfxdata="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6+469NgAAAALAQAADwAAAAAAAAABACAA&#10;AAAiAAAAZHJzL2Rvd25yZXYueG1sUEsBAhQAFAAAAAgAh07iQDVvQWUNAgAAKwQAAA4AAAAAAAAA&#10;AQAgAAAAJwEAAGRycy9lMm9Eb2MueG1sUEsFBgAAAAAGAAYAWQEAAKYFAAAAAA==&#10;">
                <v:fill on="t" focussize="0,0"/>
                <v:stroke on="f"/>
                <v:imagedata o:title=""/>
                <o:lock v:ext="edit" aspectratio="f"/>
                <v:textbox inset="0mm,0mm,0mm,0mm">
                  <w:txbxContent>
                    <w:p w14:paraId="456D1FEE">
                      <w:pPr>
                        <w:pStyle w:val="11"/>
                        <w:rPr>
                          <w:rFonts w:ascii="黑体" w:hAnsi="黑体"/>
                        </w:rPr>
                      </w:pPr>
                      <w:r>
                        <w:rPr>
                          <w:rFonts w:hint="eastAsia" w:ascii="黑体" w:hAnsi="黑体" w:cs="黑体"/>
                        </w:rPr>
                        <w:t>20</w:t>
                      </w:r>
                      <w:r>
                        <w:rPr>
                          <w:rFonts w:hint="eastAsia" w:ascii="黑体" w:hAnsi="黑体" w:cs="黑体"/>
                          <w:lang w:val="en-US" w:eastAsia="zh-CN"/>
                        </w:rPr>
                        <w:t>24</w:t>
                      </w:r>
                      <w:r>
                        <w:rPr>
                          <w:rFonts w:ascii="黑体" w:hAnsi="黑体"/>
                        </w:rPr>
                        <w:t>-</w:t>
                      </w:r>
                      <w:r>
                        <w:rPr>
                          <w:rFonts w:hint="eastAsia" w:ascii="黑体" w:hAnsi="黑体" w:cs="黑体"/>
                        </w:rPr>
                        <w:t>××</w:t>
                      </w:r>
                      <w:r>
                        <w:rPr>
                          <w:rFonts w:ascii="黑体" w:hAnsi="黑体"/>
                        </w:rPr>
                        <w:t>-</w:t>
                      </w:r>
                      <w:r>
                        <w:rPr>
                          <w:rFonts w:hint="eastAsia" w:ascii="黑体" w:hAnsi="黑体" w:cs="黑体"/>
                        </w:rPr>
                        <w:t>××发布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124E379">
      <w:pPr>
        <w:tabs>
          <w:tab w:val="left" w:pos="1305"/>
        </w:tabs>
        <w:rPr>
          <w:rFonts w:ascii="Times New Roman" w:hAnsi="Times New Roman"/>
          <w:color w:val="000000"/>
          <w:szCs w:val="21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17" w:right="1134" w:bottom="1134" w:left="1417" w:header="850" w:footer="992" w:gutter="0"/>
          <w:pgNumType w:start="1"/>
          <w:cols w:space="0" w:num="1"/>
          <w:titlePg/>
          <w:docGrid w:type="lines" w:linePitch="312" w:charSpace="0"/>
        </w:sectPr>
      </w:pPr>
      <w:r>
        <w:rPr>
          <w:rFonts w:ascii="宋体" w:hAnsi="宋体"/>
          <w:bCs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1831975</wp:posOffset>
                </wp:positionV>
                <wp:extent cx="6120130" cy="0"/>
                <wp:effectExtent l="0" t="4445" r="0" b="5080"/>
                <wp:wrapThrough wrapText="bothSides">
                  <wp:wrapPolygon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hrough>
                <wp:docPr id="6" name="Auto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20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4" o:spid="_x0000_s1026" o:spt="32" type="#_x0000_t32" style="position:absolute;left:0pt;margin-left:-6.7pt;margin-top:144.25pt;height:0pt;width:481.9pt;mso-wrap-distance-left:9pt;mso-wrap-distance-right:9pt;z-index:-251650048;mso-width-relative:page;mso-height-relative:page;" filled="f" stroked="t" coordsize="21600,21600" wrapcoords="0 0 0 21600 21600 21600 21600 0 0 0" o:gfxdata="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Ptjfs9cAAAALAQAADwAAAAAAAAABACAA&#10;AAAiAAAAZHJzL2Rvd25yZXYueG1sUEsBAhQAFAAAAAgAh07iQATKKQnVAQAAswMAAA4AAAAAAAAA&#10;AQAgAAAAJgEAAGRycy9lMm9Eb2MueG1sUEsFBgAAAAAGAAYAWQEAAG0FAAAAAA==&#10;">
                <v:fill on="f" focussize="0,0"/>
                <v:stroke color="#000000" joinstyle="round"/>
                <v:imagedata o:title=""/>
                <o:lock v:ext="edit" aspectratio="f"/>
                <w10:wrap type="through"/>
              </v:shape>
            </w:pict>
          </mc:Fallback>
        </mc:AlternateContent>
      </w:r>
    </w:p>
    <w:p w14:paraId="530B6B0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100" w:after="0" w:afterLines="100"/>
        <w:jc w:val="center"/>
        <w:textAlignment w:val="auto"/>
        <w:outlineLvl w:val="0"/>
        <w:rPr>
          <w:rFonts w:ascii="Times New Roman" w:hAnsi="Times New Roman" w:eastAsia="黑体"/>
          <w:bCs/>
          <w:color w:val="000000"/>
          <w:sz w:val="32"/>
          <w:szCs w:val="32"/>
        </w:rPr>
      </w:pPr>
      <w:bookmarkStart w:id="0" w:name="_Toc26679"/>
      <w:bookmarkStart w:id="1" w:name="_Toc19640"/>
      <w:bookmarkStart w:id="2" w:name="_Toc32599"/>
      <w:bookmarkStart w:id="3" w:name="_Toc18223"/>
      <w:bookmarkStart w:id="4" w:name="_Toc31551"/>
      <w:bookmarkStart w:id="5" w:name="_Toc5094"/>
      <w:bookmarkStart w:id="6" w:name="_Toc13900"/>
      <w:bookmarkStart w:id="7" w:name="_Toc29175"/>
      <w:bookmarkStart w:id="8" w:name="_Toc13472"/>
      <w:bookmarkStart w:id="9" w:name="_Toc11998"/>
      <w:bookmarkStart w:id="10" w:name="_Toc18100"/>
      <w:bookmarkStart w:id="11" w:name="_Toc7349"/>
      <w:bookmarkStart w:id="12" w:name="_Toc840"/>
      <w:bookmarkStart w:id="13" w:name="_Toc26541137"/>
      <w:bookmarkStart w:id="14" w:name="_Toc22401"/>
      <w:bookmarkStart w:id="15" w:name="_Toc21586"/>
      <w:bookmarkStart w:id="16" w:name="_Toc23109710"/>
      <w:bookmarkStart w:id="17" w:name="_Toc30137"/>
      <w:bookmarkStart w:id="18" w:name="_Toc16010"/>
      <w:bookmarkStart w:id="19" w:name="_Toc5123"/>
      <w:bookmarkStart w:id="20" w:name="_Toc465701073"/>
      <w:r>
        <w:rPr>
          <w:rFonts w:ascii="Times New Roman" w:hAnsi="Times New Roman" w:eastAsia="黑体"/>
          <w:bCs/>
          <w:color w:val="000000"/>
          <w:sz w:val="32"/>
          <w:szCs w:val="32"/>
        </w:rPr>
        <w:t>前</w:t>
      </w:r>
      <w:r>
        <w:rPr>
          <w:rFonts w:hint="eastAsia" w:ascii="Times New Roman" w:hAnsi="Times New Roman" w:eastAsia="黑体"/>
          <w:bCs/>
          <w:color w:val="000000"/>
          <w:sz w:val="32"/>
          <w:szCs w:val="32"/>
        </w:rPr>
        <w:t xml:space="preserve">  </w:t>
      </w:r>
      <w:r>
        <w:rPr>
          <w:rFonts w:ascii="Times New Roman" w:hAnsi="Times New Roman" w:eastAsia="黑体"/>
          <w:bCs/>
          <w:color w:val="000000"/>
          <w:sz w:val="32"/>
          <w:szCs w:val="32"/>
        </w:rPr>
        <w:t>言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14:paraId="59B89DAF">
      <w:pPr>
        <w:widowControl/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20" w:firstLineChars="200"/>
        <w:rPr>
          <w:rFonts w:ascii="Times New Roman" w:hAnsi="等线"/>
          <w:color w:val="000000"/>
          <w:sz w:val="21"/>
          <w:szCs w:val="21"/>
        </w:rPr>
      </w:pPr>
      <w:r>
        <w:rPr>
          <w:rFonts w:hint="eastAsia" w:ascii="Times New Roman" w:hAnsi="等线"/>
          <w:color w:val="000000"/>
          <w:sz w:val="21"/>
          <w:szCs w:val="21"/>
        </w:rPr>
        <w:t>本标准按照GB/T 1.1-2009《标准化工作导则 第1部分：标准的结构和编写》给出的规则起草。</w:t>
      </w:r>
    </w:p>
    <w:p w14:paraId="74656E44">
      <w:pPr>
        <w:widowControl/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20" w:firstLineChars="200"/>
        <w:rPr>
          <w:rFonts w:ascii="Times New Roman" w:hAnsi="等线"/>
          <w:color w:val="000000"/>
          <w:sz w:val="21"/>
          <w:szCs w:val="21"/>
        </w:rPr>
      </w:pPr>
      <w:r>
        <w:rPr>
          <w:rFonts w:hint="eastAsia" w:ascii="Times New Roman" w:hAnsi="等线"/>
          <w:color w:val="000000"/>
          <w:sz w:val="21"/>
          <w:szCs w:val="21"/>
        </w:rPr>
        <w:t>本标准由中国</w:t>
      </w:r>
      <w:r>
        <w:rPr>
          <w:rFonts w:hint="eastAsia" w:ascii="Times New Roman" w:hAnsi="等线"/>
          <w:color w:val="000000"/>
          <w:sz w:val="21"/>
          <w:szCs w:val="21"/>
          <w:lang w:val="en-US" w:eastAsia="zh-CN"/>
        </w:rPr>
        <w:t>乡村发展协会</w:t>
      </w:r>
      <w:r>
        <w:rPr>
          <w:rFonts w:hint="eastAsia" w:ascii="Times New Roman" w:hAnsi="等线"/>
          <w:color w:val="000000"/>
          <w:sz w:val="21"/>
          <w:szCs w:val="21"/>
        </w:rPr>
        <w:t>提出并归口。</w:t>
      </w:r>
    </w:p>
    <w:p w14:paraId="60CBBB4C">
      <w:pPr>
        <w:widowControl/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20" w:firstLineChars="200"/>
        <w:rPr>
          <w:rFonts w:hint="default" w:ascii="Times New Roman" w:hAnsi="等线"/>
          <w:color w:val="000000"/>
          <w:sz w:val="21"/>
          <w:szCs w:val="21"/>
        </w:rPr>
      </w:pPr>
      <w:r>
        <w:rPr>
          <w:rFonts w:hint="eastAsia" w:ascii="Times New Roman" w:hAnsi="等线"/>
          <w:color w:val="000000"/>
          <w:sz w:val="21"/>
          <w:szCs w:val="21"/>
        </w:rPr>
        <w:t>本标准起草单位：</w:t>
      </w:r>
      <w:r>
        <w:rPr>
          <w:rFonts w:hint="eastAsia" w:ascii="Times New Roman" w:hAnsi="等线"/>
          <w:color w:val="000000"/>
          <w:sz w:val="21"/>
          <w:szCs w:val="21"/>
          <w:lang w:val="en-US" w:eastAsia="zh-CN"/>
        </w:rPr>
        <w:t>成都中医药大学、中健安检测认证中心有限公司。</w:t>
      </w:r>
    </w:p>
    <w:p w14:paraId="439A4CF1">
      <w:pPr>
        <w:widowControl/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20" w:firstLineChars="200"/>
        <w:rPr>
          <w:rFonts w:hint="default" w:ascii="Times New Roman" w:hAnsi="等线"/>
          <w:color w:val="000000"/>
          <w:sz w:val="21"/>
          <w:szCs w:val="21"/>
        </w:rPr>
      </w:pPr>
      <w:r>
        <w:rPr>
          <w:rFonts w:hint="eastAsia" w:ascii="Times New Roman" w:hAnsi="等线"/>
          <w:color w:val="000000"/>
          <w:sz w:val="21"/>
          <w:szCs w:val="21"/>
        </w:rPr>
        <w:t>本标准主要起草人：</w:t>
      </w:r>
      <w:r>
        <w:rPr>
          <w:rFonts w:hint="eastAsia" w:ascii="Times New Roman" w:hAnsi="等线"/>
          <w:color w:val="000000"/>
          <w:sz w:val="21"/>
          <w:szCs w:val="21"/>
          <w:lang w:val="en-US" w:eastAsia="zh-CN"/>
        </w:rPr>
        <w:t>高继海、袁鑫怡、王琦。</w:t>
      </w:r>
    </w:p>
    <w:p w14:paraId="4A7B7E13">
      <w:pPr>
        <w:rPr>
          <w:rFonts w:ascii="黑体" w:hAnsi="黑体" w:eastAsia="黑体"/>
          <w:bCs/>
          <w:color w:val="000000"/>
          <w:sz w:val="32"/>
          <w:szCs w:val="32"/>
        </w:rPr>
      </w:pPr>
      <w:r>
        <w:rPr>
          <w:rFonts w:ascii="黑体" w:hAnsi="黑体" w:eastAsia="黑体"/>
          <w:bCs/>
          <w:color w:val="000000"/>
          <w:sz w:val="32"/>
          <w:szCs w:val="32"/>
        </w:rPr>
        <w:br w:type="page"/>
      </w:r>
    </w:p>
    <w:p w14:paraId="71E8D6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beforeLines="100" w:after="312" w:afterLines="100"/>
        <w:jc w:val="center"/>
        <w:textAlignment w:val="auto"/>
        <w:rPr>
          <w:rFonts w:hint="default" w:ascii="黑体" w:hAnsi="黑体" w:eastAsia="黑体"/>
          <w:bCs/>
          <w:color w:val="000000"/>
          <w:sz w:val="32"/>
          <w:szCs w:val="32"/>
          <w:highlight w:val="yellow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32"/>
          <w:szCs w:val="32"/>
          <w:lang w:val="en-US" w:eastAsia="zh-CN"/>
        </w:rPr>
        <w:t>道地</w:t>
      </w:r>
      <w:r>
        <w:rPr>
          <w:rFonts w:hint="eastAsia" w:ascii="黑体" w:hAnsi="黑体" w:eastAsia="黑体"/>
          <w:bCs/>
          <w:color w:val="000000"/>
          <w:sz w:val="32"/>
          <w:szCs w:val="32"/>
        </w:rPr>
        <w:t>药材集采交易标准</w:t>
      </w:r>
      <w:r>
        <w:rPr>
          <w:rFonts w:hint="eastAsia" w:ascii="黑体" w:hAnsi="黑体" w:eastAsia="黑体"/>
          <w:bCs/>
          <w:color w:val="000000"/>
          <w:sz w:val="32"/>
          <w:szCs w:val="32"/>
          <w:lang w:val="en-US" w:eastAsia="zh-CN"/>
        </w:rPr>
        <w:t xml:space="preserve"> 江枳实</w:t>
      </w:r>
    </w:p>
    <w:p w14:paraId="1E5DA8CD">
      <w:pPr>
        <w:pStyle w:val="3"/>
        <w:snapToGrid/>
        <w:spacing w:before="312" w:beforeLines="100" w:after="312" w:afterLines="100"/>
        <w:jc w:val="both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1 范围</w:t>
      </w:r>
    </w:p>
    <w:p w14:paraId="3966754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本标准规定了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道地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药材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江枳实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集采的术语和定义、集采要求。</w:t>
      </w:r>
    </w:p>
    <w:p w14:paraId="16596B6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本标准适用于指导中华人民共和国境内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道地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药材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江枳实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的集采交易。</w:t>
      </w:r>
    </w:p>
    <w:p w14:paraId="303EAAA4">
      <w:pPr>
        <w:pStyle w:val="3"/>
        <w:snapToGrid/>
        <w:spacing w:before="312" w:beforeLines="100" w:after="312" w:afterLines="100"/>
        <w:jc w:val="both"/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  <w:t>2 规范性引用文件</w:t>
      </w:r>
    </w:p>
    <w:p w14:paraId="028F7155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下列文件对于本文件的应用是必不可少的。凡是注日期的引用文件，仅注日期的版本适用于本文件。凡是不注日期的引用文件，其最新版本（包括所有的修改单）适用于本文件。</w:t>
      </w:r>
    </w:p>
    <w:p w14:paraId="75BE2768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T/ZGXCFZXH 0001.1-2024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《道地药材集采交易标准编制通则》</w:t>
      </w:r>
    </w:p>
    <w:p w14:paraId="257875F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T/CACM 1021.1－2016《中药材商品规格等级编制通则》</w:t>
      </w:r>
    </w:p>
    <w:p w14:paraId="50463EBC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T/CACM 1021.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47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－201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 xml:space="preserve">8 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《中药材商品规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格等级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 xml:space="preserve"> 枳实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》</w:t>
      </w:r>
    </w:p>
    <w:p w14:paraId="362B9DBF">
      <w:pPr>
        <w:pStyle w:val="3"/>
        <w:snapToGrid/>
        <w:spacing w:before="312" w:beforeLines="100" w:after="312" w:afterLines="100"/>
        <w:jc w:val="both"/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  <w:t>3 术语和定义</w:t>
      </w:r>
    </w:p>
    <w:p w14:paraId="79423520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  <w:t xml:space="preserve">3.1 </w:t>
      </w:r>
    </w:p>
    <w:p w14:paraId="44D6E676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ind w:firstLine="420" w:firstLineChars="20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  <w:t>枳实个</w:t>
      </w:r>
    </w:p>
    <w:p w14:paraId="107DB8B7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枳实在采收后，较小者未切半直接进行干燥处理后，形成圆形或卵圆形的药材。</w:t>
      </w:r>
    </w:p>
    <w:p w14:paraId="64D5C33A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  <w:t xml:space="preserve">3.2 </w:t>
      </w:r>
    </w:p>
    <w:p w14:paraId="7533648D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ind w:firstLine="420" w:firstLineChars="20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  <w:t>枳实对瓣</w:t>
      </w:r>
    </w:p>
    <w:p w14:paraId="2B33099C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枳实在采收后，较大者自中部横切为两半，然后进行干燥处理后，形成半圆球形翻口似盆状的药材。</w:t>
      </w:r>
    </w:p>
    <w:p w14:paraId="5C66F47D">
      <w:pPr>
        <w:pStyle w:val="3"/>
        <w:snapToGrid/>
        <w:spacing w:before="312" w:beforeLines="100" w:after="312" w:afterLines="100"/>
        <w:jc w:val="both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 集采要求</w:t>
      </w:r>
    </w:p>
    <w:p w14:paraId="42D9F712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4.1来源</w:t>
      </w:r>
    </w:p>
    <w:p w14:paraId="3C5B6C45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4.1.1 基原</w:t>
      </w:r>
    </w:p>
    <w:p w14:paraId="5F6E0B62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芸香科植物酸橙</w:t>
      </w:r>
      <w:r>
        <w:rPr>
          <w:rFonts w:hint="eastAsia" w:ascii="宋体" w:hAnsi="宋体" w:cs="宋体"/>
          <w:bCs/>
          <w:i/>
          <w:iCs/>
          <w:color w:val="000000"/>
          <w:sz w:val="21"/>
          <w:szCs w:val="21"/>
          <w:lang w:val="en-US" w:eastAsia="zh-CN"/>
        </w:rPr>
        <w:t>Citrus aurantium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 xml:space="preserve"> L.及其栽培变种或甜橙</w:t>
      </w:r>
      <w:r>
        <w:rPr>
          <w:rFonts w:hint="eastAsia" w:ascii="宋体" w:hAnsi="宋体" w:cs="宋体"/>
          <w:bCs/>
          <w:i/>
          <w:iCs/>
          <w:color w:val="000000"/>
          <w:sz w:val="21"/>
          <w:szCs w:val="21"/>
          <w:lang w:val="en-US" w:eastAsia="zh-CN"/>
        </w:rPr>
        <w:t>Citrus sinensis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 xml:space="preserve"> Osbeck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67F724B0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4.1.2 药用部位</w:t>
      </w:r>
    </w:p>
    <w:p w14:paraId="3E10D3F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干燥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幼果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5F654998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4.1.3 产地</w:t>
      </w:r>
    </w:p>
    <w:p w14:paraId="31B5010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default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江西樟树、新干及周边平原地带及江河湖泊沿岸地区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。</w:t>
      </w:r>
    </w:p>
    <w:p w14:paraId="2D2D194D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4.1.4 采收期</w:t>
      </w:r>
    </w:p>
    <w:p w14:paraId="1261F81A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于5-6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月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搜集自落的果实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2ED9F25E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4.1.5 产地加工</w:t>
      </w:r>
    </w:p>
    <w:p w14:paraId="3580B49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收集自落的果实，除去杂质，自中部横切为两半，晒干或低温干燥，较小者直接晒干或低温干燥。</w:t>
      </w:r>
    </w:p>
    <w:p w14:paraId="7FA8EEC8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4.2 性状</w:t>
      </w:r>
    </w:p>
    <w:p w14:paraId="2ACC6715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4.2.1 形状</w:t>
      </w:r>
    </w:p>
    <w:p w14:paraId="4A9A3E29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枳实对瓣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呈半球形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，少数枳实个呈球形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3B0D84AE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4.2.2 大小</w:t>
      </w:r>
    </w:p>
    <w:p w14:paraId="4C9B83F8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default" w:ascii="宋体" w:hAnsi="宋体" w:eastAsia="宋体" w:cs="宋体"/>
          <w:bCs/>
          <w:color w:val="0000FF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统货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直径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0.5-2.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5cm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，不分大小；选货和精品药材直径不得过2.0cm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182ECE8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4.2.3 表面</w:t>
      </w:r>
    </w:p>
    <w:p w14:paraId="14ABFD0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default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外果皮黑绿色或棕褐色，具颗粒状突起和皱纹，有明显的花柱残迹或果梗痕。</w:t>
      </w:r>
    </w:p>
    <w:p w14:paraId="61F84D7C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4.2.4 断面</w:t>
      </w:r>
    </w:p>
    <w:p w14:paraId="4A9EB47D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切面中果皮略隆起，厚0.3-1.2cm, 黄白色或黄褐色，边缘有1-2列油室，瓤囊棕褐色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375BB01E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4.2.5 质地</w:t>
      </w:r>
    </w:p>
    <w:p w14:paraId="1A596D2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质坚硬。</w:t>
      </w:r>
    </w:p>
    <w:p w14:paraId="7ECC8D5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4.2.6 气味</w:t>
      </w:r>
    </w:p>
    <w:p w14:paraId="2421DFF5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气清香，味苦、微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酸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4915ACC9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4.3 鉴别</w:t>
      </w:r>
    </w:p>
    <w:p w14:paraId="5ED01CCC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 xml:space="preserve">4.3.1 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本品粉末淡黄色或棕黄色。中果皮细胞类圆形或形状不规则，壁大多呈不均匀增厚。果皮表皮细胞表面观多角形、类方形或长方形，气孔环式，直径18-26μm,副卫细胞5-9个；侧面观外被角质层。草酸钙方晶存在于果皮和汁囊细胞中，呈斜方形多面体形或双锥形，直径2-24μm。橙皮苷结晶存在于薄壁细胞中，黄色或无色，呈圆形或无定形团块，有的显放射状纹理。油室碎片多见，分泌细胞狭长而弯曲。螺纹导管、网纹导管及管胞细小。</w:t>
      </w:r>
    </w:p>
    <w:p w14:paraId="1EB6DB8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highlight w:val="none"/>
          <w:lang w:val="en-US" w:eastAsia="zh-CN"/>
        </w:rPr>
        <w:t xml:space="preserve">4.3.2 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按《中华人民共和国药典》2020年版枳实项下【鉴别】（2）方法，供试品与对照品色谱相应位置上，分别显示相同颜色的斑点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highlight w:val="none"/>
          <w:lang w:val="en-US" w:eastAsia="zh-CN"/>
        </w:rPr>
        <w:t>。</w:t>
      </w:r>
    </w:p>
    <w:p w14:paraId="109ED0FE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4.4 检查</w:t>
      </w:r>
    </w:p>
    <w:p w14:paraId="34D3CD07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4.4.1 水分</w:t>
      </w:r>
    </w:p>
    <w:p w14:paraId="79404F3F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不得过1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.0% (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《中华人民共和国药典》2020年版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通则0832 第四法） 。</w:t>
      </w:r>
    </w:p>
    <w:p w14:paraId="30BEF272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4.4.2 总灰分</w:t>
      </w:r>
    </w:p>
    <w:p w14:paraId="403FDED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不得过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.0% (</w:t>
      </w:r>
      <w:r>
        <w:rPr>
          <w:rFonts w:hint="eastAsia" w:ascii="宋体" w:hAnsi="宋体" w:cs="宋体"/>
          <w:bCs/>
          <w:color w:val="000000"/>
          <w:sz w:val="21"/>
          <w:szCs w:val="21"/>
          <w:highlight w:val="none"/>
          <w:lang w:val="en-US" w:eastAsia="zh-CN"/>
        </w:rPr>
        <w:t>《中华人民共和国药典》2020年版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通则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2302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）。</w:t>
      </w:r>
    </w:p>
    <w:p w14:paraId="364C0E8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4.4.3 二氧化硫残留</w:t>
      </w:r>
    </w:p>
    <w:p w14:paraId="4EDE8C3D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二氧化硫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照二氧化硫残留量测定法（通则2331)测定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，二氧化硫残留量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不得过150mg/kg。</w:t>
      </w:r>
    </w:p>
    <w:p w14:paraId="3D0E6383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4.4.4 重金属残留</w:t>
      </w:r>
    </w:p>
    <w:p w14:paraId="1E09F029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照《中华人民共和国药典》2020年版通则2321，铅不得过5mg/kg；镉不得过lmg/kg；砷不得过2mg/kg；汞不得过0.2mg/kg；铜不得过20mg/kg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0CC3539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4.4.5 农药残留</w:t>
      </w:r>
    </w:p>
    <w:p w14:paraId="512EC882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照《中华人民共和国药典》2020年版通则0212中列出的农药残留不得检出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。</w:t>
      </w:r>
    </w:p>
    <w:p w14:paraId="7F29297E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4.5 浸出物</w:t>
      </w:r>
    </w:p>
    <w:p w14:paraId="5E0512C3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照醇溶性浸出物测定法（通则2201) 项下的热浸法测定，用70% 乙醇作溶剂，不得少于12.0%。</w:t>
      </w:r>
    </w:p>
    <w:p w14:paraId="6AE8660B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4.6 含量</w:t>
      </w:r>
    </w:p>
    <w:p w14:paraId="7288155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按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枳实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干燥品计算，含辛弗林(C</w:t>
      </w:r>
      <w:r>
        <w:rPr>
          <w:rFonts w:hint="eastAsia" w:ascii="宋体" w:hAnsi="宋体" w:cs="宋体"/>
          <w:bCs/>
          <w:color w:val="000000"/>
          <w:sz w:val="21"/>
          <w:szCs w:val="21"/>
          <w:vertAlign w:val="subscript"/>
          <w:lang w:val="en-US" w:eastAsia="zh-CN"/>
        </w:rPr>
        <w:t>9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H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vertAlign w:val="subscript"/>
          <w:lang w:val="en-US" w:eastAsia="zh-CN"/>
        </w:rPr>
        <w:t>13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NO</w:t>
      </w:r>
      <w:r>
        <w:rPr>
          <w:rFonts w:hint="eastAsia" w:ascii="宋体" w:hAnsi="宋体" w:cs="宋体"/>
          <w:bCs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) 不得少于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0.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30%。</w:t>
      </w:r>
    </w:p>
    <w:p w14:paraId="7C495513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4.7 质量控制</w:t>
      </w:r>
    </w:p>
    <w:p w14:paraId="1A21FC1D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4.7.1 可追溯</w:t>
      </w:r>
    </w:p>
    <w:p w14:paraId="10FA4B0E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集采交易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江枳实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应实现生产全过程可追溯，并通过第三方溯源评价。</w:t>
      </w:r>
    </w:p>
    <w:p w14:paraId="1E8F9DB9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4.7.2 药材生产管理规范</w:t>
      </w:r>
    </w:p>
    <w:p w14:paraId="4FA618A4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江枳实精品药材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应符合中药材GAP管理要求，并通过GAP备案或延伸检查。</w:t>
      </w:r>
    </w:p>
    <w:p w14:paraId="14BCECC9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4.7.3 道地药材</w:t>
      </w:r>
    </w:p>
    <w:p w14:paraId="0724C107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江枳实精品药材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应符合道地药材要求，并通过第三方道地药材认证。</w:t>
      </w:r>
    </w:p>
    <w:p w14:paraId="29B3E861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50" w:after="0" w:afterLines="50"/>
        <w:jc w:val="both"/>
        <w:textAlignment w:val="auto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4.8 等级及集采要求</w:t>
      </w:r>
    </w:p>
    <w:p w14:paraId="07E6D64C"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集采药材统货、选货、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精品药材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lang w:val="en-US" w:eastAsia="zh-CN"/>
        </w:rPr>
        <w:t>具体要求见</w:t>
      </w:r>
      <w:r>
        <w:rPr>
          <w:rFonts w:hint="eastAsia" w:ascii="宋体" w:hAnsi="宋体" w:cs="宋体"/>
          <w:bCs/>
          <w:color w:val="000000"/>
          <w:sz w:val="21"/>
          <w:szCs w:val="21"/>
          <w:lang w:val="en-US" w:eastAsia="zh-CN"/>
        </w:rPr>
        <w:t>表1。</w:t>
      </w:r>
    </w:p>
    <w:tbl>
      <w:tblPr>
        <w:tblStyle w:val="7"/>
        <w:tblW w:w="9700" w:type="dxa"/>
        <w:tblInd w:w="9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10"/>
        <w:gridCol w:w="1910"/>
        <w:gridCol w:w="1940"/>
        <w:gridCol w:w="1789"/>
        <w:gridCol w:w="2151"/>
      </w:tblGrid>
      <w:tr w14:paraId="4EC0FE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7" w:hRule="atLeast"/>
        </w:trPr>
        <w:tc>
          <w:tcPr>
            <w:tcW w:w="97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14:paraId="675C02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表1 道地药材集采交易标准 江枳实</w:t>
            </w:r>
          </w:p>
        </w:tc>
      </w:tr>
      <w:tr w14:paraId="52C9A0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6" w:hRule="atLeast"/>
        </w:trPr>
        <w:tc>
          <w:tcPr>
            <w:tcW w:w="3820" w:type="dxa"/>
            <w:gridSpan w:val="2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  <mc:AlternateContent>
              <mc:Choice Requires="wpsCustomData">
                <wpsCustomData:diagonals>
                  <wpsCustomData:diagonal from="10000" to="30000">
                    <wpsCustomData:border w:val="single" w:color="000000" w:sz="4" w:space="0"/>
                  </wpsCustomData:diagonal>
                </wpsCustomData:diagonals>
              </mc:Choice>
            </mc:AlternateContent>
          </w:tcPr>
          <w:p w14:paraId="6D4D673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</w:p>
          <w:p w14:paraId="29B82CF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mc:AlternateContent>
                <mc:Choice Requires="wpsCustomData">
                  <wpsCustomData:diagonalParaType/>
                </mc:Choice>
              </mc:AlternateContent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指标</w:t>
            </w:r>
          </w:p>
          <w:p w14:paraId="08D5417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ind w:firstLine="1080" w:firstLineChars="600"/>
              <w:jc w:val="both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等级</w:t>
            </w:r>
          </w:p>
        </w:tc>
        <w:tc>
          <w:tcPr>
            <w:tcW w:w="19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4918A5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统货</w:t>
            </w:r>
          </w:p>
        </w:tc>
        <w:tc>
          <w:tcPr>
            <w:tcW w:w="17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842838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选货</w:t>
            </w:r>
          </w:p>
        </w:tc>
        <w:tc>
          <w:tcPr>
            <w:tcW w:w="21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022D05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精品药材</w:t>
            </w:r>
          </w:p>
        </w:tc>
      </w:tr>
      <w:tr w14:paraId="45FC928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848EFA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来源</w:t>
            </w: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915B83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基原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094B94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>芸香科植物酸橙</w:t>
            </w:r>
            <w:r>
              <w:rPr>
                <w:rFonts w:hint="eastAsia" w:ascii="宋体" w:hAnsi="宋体" w:cs="宋体"/>
                <w:bCs/>
                <w:i/>
                <w:iCs/>
                <w:color w:val="000000"/>
                <w:sz w:val="18"/>
                <w:szCs w:val="18"/>
                <w:lang w:val="en-US" w:eastAsia="zh-CN"/>
              </w:rPr>
              <w:t>Citrus aurantium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 xml:space="preserve"> L.及其栽培变种或甜橙</w:t>
            </w:r>
            <w:r>
              <w:rPr>
                <w:rFonts w:hint="eastAsia" w:ascii="宋体" w:hAnsi="宋体" w:cs="宋体"/>
                <w:bCs/>
                <w:i/>
                <w:iCs/>
                <w:color w:val="000000"/>
                <w:sz w:val="18"/>
                <w:szCs w:val="18"/>
                <w:lang w:val="en-US" w:eastAsia="zh-CN"/>
              </w:rPr>
              <w:t>Citrus sinensis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 xml:space="preserve"> Osbeck</w:t>
            </w:r>
          </w:p>
        </w:tc>
      </w:tr>
      <w:tr w14:paraId="20B852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03182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BE68A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药用部位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58FE5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干燥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>幼果</w:t>
            </w:r>
          </w:p>
        </w:tc>
      </w:tr>
      <w:tr w14:paraId="562113C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87B751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DF19E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采收时间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53FF3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>5-6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月</w:t>
            </w:r>
          </w:p>
        </w:tc>
      </w:tr>
      <w:tr w14:paraId="01A1F6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F2138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F0816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产地加工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4F019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收集自落的果实，除去杂质，自中部横切为两半，晒干或低温干燥，较小者直接晒干或低温干燥</w:t>
            </w:r>
          </w:p>
        </w:tc>
      </w:tr>
      <w:tr w14:paraId="6A527F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61A191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EF1B7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产地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18525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/>
              </w:rPr>
              <w:t>江西樟树、新干及周边平原地带及江河湖泊沿岸地区</w:t>
            </w:r>
          </w:p>
        </w:tc>
      </w:tr>
      <w:tr w14:paraId="23FEF8E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72C6B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性状</w:t>
            </w: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6E3E5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形状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ABF35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呈半球形，少数呈球形</w:t>
            </w:r>
          </w:p>
        </w:tc>
      </w:tr>
      <w:tr w14:paraId="2CDF12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DB9AB8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34B63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气味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FC122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气清香，味苦、微酸</w:t>
            </w:r>
          </w:p>
        </w:tc>
      </w:tr>
      <w:tr w14:paraId="4DF8BBB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546B08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7240B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断面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9A5FF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枳实切面中果皮略隆起，厚0.3-1.2cm, 黄白色或黄褐色，边缘有1-2 列油室，瓤囊棕褐色</w:t>
            </w:r>
          </w:p>
        </w:tc>
      </w:tr>
      <w:tr w14:paraId="1F90939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BC9D12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07122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质地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E40413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质坚硬</w:t>
            </w:r>
          </w:p>
        </w:tc>
      </w:tr>
      <w:tr w14:paraId="55FCEC7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4ACCE3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27471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表面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DFD216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外果皮黑绿色或棕褐色，具颗粒状突起和皱纹，有明显的花柱残迹或果梗痕</w:t>
            </w:r>
          </w:p>
        </w:tc>
      </w:tr>
      <w:tr w14:paraId="606686D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92A55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37E4D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直径</w:t>
            </w:r>
          </w:p>
        </w:tc>
        <w:tc>
          <w:tcPr>
            <w:tcW w:w="19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E32D1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0.5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-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2.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5cm</w:t>
            </w:r>
          </w:p>
        </w:tc>
        <w:tc>
          <w:tcPr>
            <w:tcW w:w="17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882C2E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0.5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-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cm</w:t>
            </w:r>
          </w:p>
        </w:tc>
        <w:tc>
          <w:tcPr>
            <w:tcW w:w="21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032AB9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0.5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-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cm</w:t>
            </w:r>
          </w:p>
        </w:tc>
      </w:tr>
      <w:tr w14:paraId="79EA68C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3E3EA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BA6D0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厚度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（中果皮）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77C920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0.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-1.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  <w:t>cm</w:t>
            </w:r>
          </w:p>
        </w:tc>
      </w:tr>
      <w:tr w14:paraId="6EDA578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A2F865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  <w:t>鉴别</w:t>
            </w: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6DA86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鉴别（1）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80FEE76">
            <w:pPr>
              <w:rPr>
                <w:rFonts w:hint="default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  <w:t>见4.3.1</w:t>
            </w:r>
          </w:p>
        </w:tc>
      </w:tr>
      <w:tr w14:paraId="3D696C2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372B3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val="en-US" w:eastAsia="zh-CN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413EE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鉴别（2）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1B8DB8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  <w:t>按《中华人民共和国药典》2020年版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  <w:lang w:eastAsia="zh-CN"/>
              </w:rPr>
              <w:t>枳实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  <w:t>项下【鉴别】（2）方法，供试品与对照品色谱相应位置上，分别显示相同颜色的斑点</w:t>
            </w:r>
          </w:p>
        </w:tc>
      </w:tr>
      <w:tr w14:paraId="19EBAE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9039C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检查</w:t>
            </w:r>
          </w:p>
        </w:tc>
        <w:tc>
          <w:tcPr>
            <w:tcW w:w="19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994F2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水分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47026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不得过1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.0%</w:t>
            </w:r>
          </w:p>
        </w:tc>
      </w:tr>
      <w:tr w14:paraId="74658BB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13C6A6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34720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灰分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C99C82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不得过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>7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.0%</w:t>
            </w:r>
          </w:p>
        </w:tc>
      </w:tr>
      <w:tr w14:paraId="12FE0CD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7B9701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422A4D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二氧化硫*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1C20A8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不得过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150mg/kg</w:t>
            </w:r>
          </w:p>
        </w:tc>
      </w:tr>
      <w:tr w14:paraId="58ECDDD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68A68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49743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农药残留*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0B5CF0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照《中华人民共和国药典》2020年版通则0212列出的农药残留不得检出。</w:t>
            </w:r>
          </w:p>
        </w:tc>
      </w:tr>
      <w:tr w14:paraId="063CEF8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910" w:type="dxa"/>
            <w:vMerge w:val="continue"/>
            <w:tcBorders>
              <w:top w:val="single" w:color="000000" w:sz="4" w:space="0"/>
              <w:left w:val="single" w:color="auto" w:sz="4" w:space="0"/>
              <w:bottom w:val="nil"/>
              <w:right w:val="single" w:color="000000" w:sz="4" w:space="0"/>
            </w:tcBorders>
            <w:shd w:val="clear" w:color="auto" w:fill="FFFFFF"/>
            <w:vAlign w:val="center"/>
          </w:tcPr>
          <w:p w14:paraId="450E7C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19004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重金属及有害元素</w:t>
            </w:r>
          </w:p>
        </w:tc>
        <w:tc>
          <w:tcPr>
            <w:tcW w:w="5880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059A03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铅不得过5mg/kg； 镉不得过lmg/ kg；砷不得过2 mg/kg；汞不得过0.2mg/kg；铜不得过20mg/kg</w:t>
            </w:r>
          </w:p>
        </w:tc>
      </w:tr>
      <w:tr w14:paraId="4532594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4" w:hRule="atLeast"/>
        </w:trPr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203BB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浸出物</w:t>
            </w:r>
          </w:p>
        </w:tc>
        <w:tc>
          <w:tcPr>
            <w:tcW w:w="191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8FC08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-</w:t>
            </w:r>
          </w:p>
        </w:tc>
        <w:tc>
          <w:tcPr>
            <w:tcW w:w="5880" w:type="dxa"/>
            <w:gridSpan w:val="3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42DF68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  <w:lang w:val="en-US" w:eastAsia="zh-CN"/>
              </w:rPr>
              <w:t>不得少于12.0%</w:t>
            </w:r>
          </w:p>
        </w:tc>
      </w:tr>
      <w:tr w14:paraId="2CF3639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4" w:hRule="atLeast"/>
        </w:trPr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5BF11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含量</w:t>
            </w:r>
          </w:p>
        </w:tc>
        <w:tc>
          <w:tcPr>
            <w:tcW w:w="191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A6ABD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辛弗林(C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vertAlign w:val="subscript"/>
                <w:lang w:val="en-US" w:eastAsia="zh-CN"/>
              </w:rPr>
              <w:t>9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H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vertAlign w:val="subscript"/>
                <w:lang w:val="en-US" w:eastAsia="zh-CN"/>
              </w:rPr>
              <w:t>13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NO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vertAlign w:val="subscript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)</w:t>
            </w:r>
          </w:p>
        </w:tc>
        <w:tc>
          <w:tcPr>
            <w:tcW w:w="5880" w:type="dxa"/>
            <w:gridSpan w:val="3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084029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不得少于</w:t>
            </w:r>
            <w:r>
              <w:rPr>
                <w:rFonts w:hint="eastAsia" w:ascii="宋体" w:hAnsi="宋体" w:cs="宋体"/>
                <w:bCs/>
                <w:color w:val="000000"/>
                <w:sz w:val="18"/>
                <w:szCs w:val="18"/>
                <w:lang w:val="en-US" w:eastAsia="zh-CN"/>
              </w:rPr>
              <w:t>0.3</w:t>
            </w:r>
            <w:r>
              <w:rPr>
                <w:rFonts w:hint="eastAsia" w:ascii="宋体" w:hAnsi="宋体" w:eastAsia="宋体" w:cs="宋体"/>
                <w:bCs/>
                <w:color w:val="000000"/>
                <w:sz w:val="18"/>
                <w:szCs w:val="18"/>
                <w:lang w:val="en-US" w:eastAsia="zh-CN"/>
              </w:rPr>
              <w:t>%</w:t>
            </w:r>
          </w:p>
        </w:tc>
      </w:tr>
      <w:tr w14:paraId="475187B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0" w:type="auto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495FB4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质量控制</w:t>
            </w: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916B2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可追溯*</w:t>
            </w:r>
          </w:p>
        </w:tc>
        <w:tc>
          <w:tcPr>
            <w:tcW w:w="588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706AE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通过第三方溯源评价</w:t>
            </w:r>
          </w:p>
        </w:tc>
      </w:tr>
      <w:tr w14:paraId="005AD9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5D1CA2C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F5AF1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GAP*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76E3BC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/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7BEE74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/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252065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GAP备案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或延伸检查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通过</w:t>
            </w:r>
          </w:p>
        </w:tc>
      </w:tr>
      <w:tr w14:paraId="077BEF7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0" w:type="auto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0061E63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9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530CB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道地药材*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6747AA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/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20059F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/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 w14:paraId="2FC60B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道地药材认证</w:t>
            </w:r>
          </w:p>
        </w:tc>
      </w:tr>
    </w:tbl>
    <w:p w14:paraId="04CD9B4C">
      <w:pPr>
        <w:rPr>
          <w:rFonts w:hint="default" w:ascii="黑体" w:hAnsi="黑体" w:eastAsia="黑体"/>
          <w:bCs/>
          <w:color w:val="000000"/>
          <w:sz w:val="30"/>
          <w:szCs w:val="30"/>
          <w:lang w:val="en-US" w:eastAsia="zh-CN"/>
        </w:rPr>
      </w:pPr>
      <w:r>
        <w:rPr>
          <w:rFonts w:hint="default" w:ascii="黑体" w:hAnsi="黑体" w:eastAsia="黑体"/>
          <w:bCs/>
          <w:color w:val="000000"/>
          <w:sz w:val="30"/>
          <w:szCs w:val="30"/>
          <w:lang w:val="en-US" w:eastAsia="zh-CN"/>
        </w:rPr>
        <w:br w:type="page"/>
      </w:r>
    </w:p>
    <w:p w14:paraId="27A306F6">
      <w:pPr>
        <w:spacing w:after="283"/>
        <w:jc w:val="center"/>
        <w:outlineLvl w:val="0"/>
        <w:rPr>
          <w:rFonts w:hint="default" w:ascii="黑体" w:hAnsi="黑体" w:eastAsia="黑体"/>
          <w:strike w:val="0"/>
          <w:color w:val="000000"/>
          <w:szCs w:val="21"/>
          <w:lang w:val="en-US" w:eastAsia="zh-CN"/>
        </w:rPr>
      </w:pPr>
      <w:r>
        <w:rPr>
          <w:rFonts w:hint="eastAsia" w:ascii="黑体" w:hAnsi="黑体" w:eastAsia="黑体"/>
          <w:strike w:val="0"/>
          <w:color w:val="000000"/>
          <w:szCs w:val="21"/>
          <w:lang w:val="en-US" w:eastAsia="zh-CN"/>
        </w:rPr>
        <w:t>附录A</w:t>
      </w:r>
    </w:p>
    <w:p w14:paraId="3F529669">
      <w:pPr>
        <w:spacing w:after="283"/>
        <w:jc w:val="center"/>
        <w:outlineLvl w:val="0"/>
        <w:rPr>
          <w:rFonts w:hint="eastAsia" w:ascii="黑体" w:hAnsi="黑体" w:eastAsia="黑体"/>
          <w:strike w:val="0"/>
          <w:color w:val="000000"/>
          <w:szCs w:val="21"/>
          <w:lang w:val="en-US" w:eastAsia="zh-CN"/>
        </w:rPr>
      </w:pPr>
      <w:r>
        <w:rPr>
          <w:rFonts w:hint="eastAsia" w:ascii="黑体" w:hAnsi="黑体" w:eastAsia="黑体"/>
          <w:strike w:val="0"/>
          <w:color w:val="000000"/>
          <w:szCs w:val="21"/>
          <w:lang w:val="en-US" w:eastAsia="zh-CN"/>
        </w:rPr>
        <w:t>（规范性附录）</w:t>
      </w:r>
    </w:p>
    <w:p w14:paraId="544CAE41">
      <w:pPr>
        <w:spacing w:after="283"/>
        <w:jc w:val="center"/>
        <w:outlineLvl w:val="0"/>
        <w:rPr>
          <w:rFonts w:hint="default" w:ascii="黑体" w:hAnsi="黑体" w:eastAsia="黑体"/>
          <w:strike w:val="0"/>
          <w:color w:val="000000"/>
          <w:szCs w:val="21"/>
          <w:lang w:val="en-US" w:eastAsia="zh-CN"/>
        </w:rPr>
      </w:pPr>
      <w:r>
        <w:rPr>
          <w:rFonts w:hint="eastAsia" w:ascii="黑体" w:hAnsi="黑体" w:eastAsia="黑体"/>
          <w:strike w:val="0"/>
          <w:color w:val="000000"/>
          <w:szCs w:val="21"/>
          <w:lang w:val="en-US" w:eastAsia="zh-CN"/>
        </w:rPr>
        <w:t>江枳实集采交易规格等级性状图</w:t>
      </w:r>
    </w:p>
    <w:p w14:paraId="73D1CC78">
      <w:pPr>
        <w:pStyle w:val="3"/>
        <w:snapToGrid/>
        <w:spacing w:before="312" w:beforeLines="100" w:after="312" w:afterLines="100"/>
        <w:jc w:val="distribute"/>
        <w:rPr>
          <w:rFonts w:hint="default" w:ascii="黑体" w:hAnsi="黑体" w:eastAsia="黑体"/>
          <w:bCs/>
          <w:color w:val="000000"/>
          <w:sz w:val="30"/>
          <w:szCs w:val="30"/>
          <w:lang w:val="en-US" w:eastAsia="zh-CN"/>
        </w:rPr>
      </w:pPr>
      <w:r>
        <w:rPr>
          <w:rFonts w:hint="default" w:ascii="黑体" w:hAnsi="黑体" w:eastAsia="黑体"/>
          <w:bCs/>
          <w:color w:val="000000"/>
          <w:sz w:val="30"/>
          <w:szCs w:val="30"/>
          <w:lang w:val="en-US" w:eastAsia="zh-CN"/>
        </w:rPr>
        <w:drawing>
          <wp:inline distT="0" distB="0" distL="114300" distR="114300">
            <wp:extent cx="2809875" cy="2520315"/>
            <wp:effectExtent l="0" t="0" r="0" b="0"/>
            <wp:docPr id="16" name="图片 16" descr="枳实-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枳实-片"/>
                    <pic:cNvPicPr>
                      <a:picLocks noChangeAspect="1"/>
                    </pic:cNvPicPr>
                  </pic:nvPicPr>
                  <pic:blipFill>
                    <a:blip r:embed="rId16"/>
                    <a:srcRect l="5673" r="7170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/>
          <w:bCs/>
          <w:color w:val="000000"/>
          <w:sz w:val="30"/>
          <w:szCs w:val="30"/>
          <w:lang w:val="en-US" w:eastAsia="zh-CN"/>
        </w:rPr>
        <w:t xml:space="preserve">    </w:t>
      </w:r>
      <w:r>
        <w:rPr>
          <w:rFonts w:hint="default" w:ascii="黑体" w:hAnsi="黑体" w:eastAsia="黑体"/>
          <w:bCs/>
          <w:color w:val="000000"/>
          <w:sz w:val="30"/>
          <w:szCs w:val="30"/>
          <w:lang w:val="en-US" w:eastAsia="zh-CN"/>
        </w:rPr>
        <w:drawing>
          <wp:inline distT="0" distB="0" distL="114300" distR="114300">
            <wp:extent cx="2847975" cy="2520315"/>
            <wp:effectExtent l="0" t="0" r="0" b="0"/>
            <wp:docPr id="9" name="图片 9" descr="枳实-选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枳实-选货"/>
                    <pic:cNvPicPr>
                      <a:picLocks noChangeAspect="1"/>
                    </pic:cNvPicPr>
                  </pic:nvPicPr>
                  <pic:blipFill>
                    <a:blip r:embed="rId17"/>
                    <a:srcRect r="8563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5B874">
      <w:pPr>
        <w:pStyle w:val="3"/>
        <w:snapToGrid/>
        <w:spacing w:before="312" w:beforeLines="100" w:after="312" w:afterLines="100"/>
        <w:jc w:val="center"/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图A1 枳实片</w:t>
      </w:r>
      <w:r>
        <w:rPr>
          <w:rFonts w:hint="eastAsia" w:ascii="黑体" w:hAnsi="黑体" w:eastAsia="黑体" w:cs="黑体"/>
          <w:sz w:val="21"/>
          <w:szCs w:val="21"/>
          <w:lang w:val="en-US" w:eastAsia="zh-CN" w:bidi="ar"/>
        </w:rPr>
        <w:t>（统货）规格等级性状图</w:t>
      </w: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 xml:space="preserve">               图A2 枳实片</w:t>
      </w:r>
      <w:r>
        <w:rPr>
          <w:rFonts w:hint="eastAsia" w:ascii="黑体" w:hAnsi="黑体" w:eastAsia="黑体" w:cs="黑体"/>
          <w:sz w:val="21"/>
          <w:szCs w:val="21"/>
          <w:lang w:val="en-US" w:eastAsia="zh-CN" w:bidi="ar"/>
        </w:rPr>
        <w:t>（选货）规格等级性状图</w:t>
      </w:r>
    </w:p>
    <w:p w14:paraId="10ACAB7A">
      <w:pPr>
        <w:pStyle w:val="3"/>
        <w:snapToGrid/>
        <w:spacing w:before="312" w:beforeLines="100" w:after="312" w:afterLines="100"/>
        <w:jc w:val="center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  <w:drawing>
          <wp:inline distT="0" distB="0" distL="114300" distR="114300">
            <wp:extent cx="3009265" cy="2839720"/>
            <wp:effectExtent l="0" t="0" r="8255" b="10160"/>
            <wp:docPr id="17" name="图片 17" descr="枳实-统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枳实-统货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09265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F5313">
      <w:pPr>
        <w:pStyle w:val="3"/>
        <w:snapToGrid/>
        <w:spacing w:before="312" w:beforeLines="100" w:after="312" w:afterLines="100"/>
        <w:jc w:val="center"/>
        <w:rPr>
          <w:rFonts w:hint="default" w:ascii="黑体" w:hAnsi="黑体" w:eastAsia="黑体"/>
          <w:bCs/>
          <w:color w:val="000000"/>
          <w:sz w:val="21"/>
          <w:szCs w:val="21"/>
          <w:lang w:val="en-US" w:eastAsia="zh-CN"/>
        </w:rPr>
      </w:pPr>
      <w:r>
        <w:rPr>
          <w:rFonts w:hint="eastAsia" w:ascii="黑体" w:hAnsi="黑体" w:eastAsia="黑体"/>
          <w:bCs/>
          <w:color w:val="000000"/>
          <w:sz w:val="21"/>
          <w:szCs w:val="21"/>
          <w:lang w:val="en-US" w:eastAsia="zh-CN"/>
        </w:rPr>
        <w:t>图A3 枳实（个）</w:t>
      </w:r>
      <w:r>
        <w:rPr>
          <w:rFonts w:hint="eastAsia" w:ascii="黑体" w:hAnsi="黑体" w:eastAsia="黑体" w:cs="黑体"/>
          <w:sz w:val="21"/>
          <w:szCs w:val="21"/>
          <w:lang w:val="en-US" w:eastAsia="zh-CN" w:bidi="ar"/>
        </w:rPr>
        <w:t>规格等级性状图</w:t>
      </w:r>
    </w:p>
    <w:p w14:paraId="08A4E327">
      <w:pPr>
        <w:pStyle w:val="3"/>
        <w:snapToGrid/>
        <w:spacing w:before="312" w:beforeLines="100" w:after="312" w:afterLines="100"/>
        <w:jc w:val="distribute"/>
        <w:rPr>
          <w:rFonts w:hint="default" w:ascii="黑体" w:hAnsi="黑体" w:eastAsia="黑体"/>
          <w:bCs/>
          <w:color w:val="000000"/>
          <w:sz w:val="30"/>
          <w:szCs w:val="30"/>
          <w:lang w:val="en-US" w:eastAsia="zh-CN"/>
        </w:rPr>
      </w:pPr>
    </w:p>
    <w:p w14:paraId="164FCAB5">
      <w:pPr>
        <w:pStyle w:val="3"/>
        <w:snapToGrid/>
        <w:spacing w:before="312" w:beforeLines="100" w:after="312" w:afterLines="100"/>
        <w:jc w:val="center"/>
        <w:rPr>
          <w:rFonts w:ascii="黑体" w:hAnsi="黑体" w:eastAsia="黑体"/>
          <w:bCs/>
          <w:color w:val="000000"/>
          <w:sz w:val="32"/>
          <w:szCs w:val="32"/>
        </w:rPr>
      </w:pPr>
      <w:r>
        <w:rPr>
          <w:rFonts w:hint="eastAsia" w:ascii="黑体" w:hAnsi="黑体" w:eastAsia="黑体"/>
          <w:bCs/>
          <w:color w:val="000000"/>
          <w:sz w:val="32"/>
          <w:szCs w:val="32"/>
        </w:rPr>
        <w:t xml:space="preserve"> </w:t>
      </w:r>
    </w:p>
    <w:bookmarkEnd w:id="20"/>
    <w:p w14:paraId="535DC235">
      <w:pPr>
        <w:pStyle w:val="2"/>
        <w:spacing w:line="360" w:lineRule="auto"/>
        <w:ind w:left="0" w:firstLine="420" w:firstLineChars="200"/>
        <w:rPr>
          <w:rFonts w:ascii="Times New Roman" w:hAnsi="Times New Roman" w:eastAsia="Times New Roman"/>
          <w:strike/>
        </w:rPr>
        <w:sectPr>
          <w:headerReference r:id="rId9" w:type="default"/>
          <w:footerReference r:id="rId10" w:type="default"/>
          <w:footerReference r:id="rId11" w:type="even"/>
          <w:pgSz w:w="11905" w:h="16840"/>
          <w:pgMar w:top="1700" w:right="1020" w:bottom="1300" w:left="1180" w:header="1448" w:footer="1113" w:gutter="0"/>
          <w:pgNumType w:start="1"/>
          <w:cols w:space="720" w:num="1"/>
        </w:sectPr>
      </w:pPr>
      <w:bookmarkStart w:id="21" w:name="_Toc501701529"/>
    </w:p>
    <w:bookmarkEnd w:id="21"/>
    <w:p w14:paraId="1338E750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/>
        <w:jc w:val="center"/>
        <w:textAlignment w:val="auto"/>
        <w:outlineLvl w:val="0"/>
        <w:rPr>
          <w:rFonts w:ascii="Times New Roman" w:hAnsi="Times New Roman" w:eastAsia="黑体" w:cs="宋体"/>
          <w:szCs w:val="21"/>
        </w:rPr>
      </w:pPr>
      <w:bookmarkStart w:id="22" w:name="_Toc9701"/>
      <w:bookmarkStart w:id="23" w:name="_Toc27406"/>
      <w:bookmarkStart w:id="24" w:name="_Toc16858"/>
      <w:bookmarkStart w:id="25" w:name="_Toc25047693"/>
      <w:bookmarkStart w:id="26" w:name="_Toc30293"/>
      <w:bookmarkStart w:id="27" w:name="_Toc15722"/>
      <w:bookmarkStart w:id="28" w:name="_Toc7443"/>
      <w:bookmarkStart w:id="29" w:name="_Toc26118"/>
      <w:r>
        <w:rPr>
          <w:rFonts w:hint="eastAsia" w:ascii="Times New Roman" w:hAnsi="Times New Roman" w:eastAsia="黑体" w:cs="宋体"/>
          <w:szCs w:val="21"/>
        </w:rPr>
        <w:t>参考文献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</w:p>
    <w:p w14:paraId="0CFC790C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hint="eastAsia" w:ascii="宋体" w:hAnsi="宋体"/>
          <w:highlight w:val="none"/>
        </w:rPr>
      </w:pPr>
      <w:r>
        <w:rPr>
          <w:rFonts w:hint="eastAsia" w:ascii="宋体" w:hAnsi="宋体"/>
        </w:rPr>
        <w:t>[</w:t>
      </w:r>
      <w:r>
        <w:rPr>
          <w:rFonts w:hint="eastAsia" w:ascii="宋体" w:hAnsi="宋体"/>
          <w:highlight w:val="none"/>
        </w:rPr>
        <w:t>1] 全国人民代表大会常务委员会.中华人民共和国中医药法</w:t>
      </w:r>
      <w:r>
        <w:rPr>
          <w:rFonts w:hint="eastAsia" w:ascii="宋体" w:hAnsi="宋体"/>
        </w:rPr>
        <w:t>[M]</w:t>
      </w:r>
      <w:r>
        <w:rPr>
          <w:rFonts w:hint="eastAsia" w:ascii="宋体" w:hAnsi="宋体"/>
          <w:highlight w:val="none"/>
        </w:rPr>
        <w:t>.北京:</w:t>
      </w:r>
      <w:r>
        <w:rPr>
          <w:rFonts w:hint="eastAsia" w:ascii="宋体" w:hAnsi="宋体"/>
          <w:highlight w:val="none"/>
          <w:lang w:val="en-US" w:eastAsia="zh-CN"/>
        </w:rPr>
        <w:t>法律</w:t>
      </w:r>
      <w:r>
        <w:rPr>
          <w:rFonts w:hint="eastAsia" w:ascii="宋体" w:hAnsi="宋体"/>
          <w:highlight w:val="none"/>
        </w:rPr>
        <w:t>出版社,2017.</w:t>
      </w:r>
    </w:p>
    <w:p w14:paraId="06B88033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hint="eastAsia" w:ascii="宋体" w:hAnsi="宋体"/>
          <w:highlight w:val="none"/>
        </w:rPr>
      </w:pPr>
      <w:r>
        <w:rPr>
          <w:rFonts w:hint="eastAsia" w:ascii="宋体" w:hAnsi="宋体"/>
          <w:highlight w:val="none"/>
        </w:rPr>
        <w:t>[2] 国家药典委员会.中华人民共和国药典</w:t>
      </w:r>
      <w:r>
        <w:rPr>
          <w:rFonts w:hint="eastAsia" w:ascii="宋体" w:hAnsi="宋体"/>
        </w:rPr>
        <w:t>[M]</w:t>
      </w:r>
      <w:r>
        <w:rPr>
          <w:rFonts w:hint="eastAsia" w:ascii="宋体" w:hAnsi="宋体"/>
          <w:highlight w:val="none"/>
        </w:rPr>
        <w:t>.北京:中国医药科技出版社,2020.</w:t>
      </w:r>
    </w:p>
    <w:p w14:paraId="5AD2A13B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hint="eastAsia" w:ascii="宋体" w:hAnsi="宋体"/>
          <w:highlight w:val="none"/>
        </w:rPr>
      </w:pPr>
      <w:r>
        <w:rPr>
          <w:rFonts w:hint="eastAsia" w:ascii="宋体" w:hAnsi="宋体"/>
          <w:highlight w:val="none"/>
        </w:rPr>
        <w:t>[</w:t>
      </w:r>
      <w:r>
        <w:rPr>
          <w:rFonts w:hint="eastAsia" w:ascii="宋体" w:hAnsi="宋体"/>
          <w:highlight w:val="none"/>
          <w:lang w:val="en-US" w:eastAsia="zh-CN"/>
        </w:rPr>
        <w:t>3</w:t>
      </w:r>
      <w:r>
        <w:rPr>
          <w:rFonts w:hint="eastAsia" w:ascii="宋体" w:hAnsi="宋体"/>
          <w:highlight w:val="none"/>
        </w:rPr>
        <w:t xml:space="preserve">] </w:t>
      </w:r>
      <w:r>
        <w:rPr>
          <w:rFonts w:hint="eastAsia" w:ascii="宋体" w:hAnsi="宋体"/>
          <w:highlight w:val="none"/>
          <w:lang w:val="en-US" w:eastAsia="zh-CN"/>
        </w:rPr>
        <w:t>黄璐琦,郭兰萍,詹志来,等</w:t>
      </w:r>
      <w:r>
        <w:rPr>
          <w:rFonts w:hint="eastAsia" w:ascii="宋体" w:hAnsi="宋体"/>
          <w:highlight w:val="none"/>
        </w:rPr>
        <w:t>.中药材商品规格等级</w:t>
      </w:r>
      <w:r>
        <w:rPr>
          <w:rFonts w:hint="eastAsia" w:ascii="宋体" w:hAnsi="宋体"/>
          <w:highlight w:val="none"/>
          <w:lang w:val="en-US" w:eastAsia="zh-CN"/>
        </w:rPr>
        <w:t>标准编制通则</w:t>
      </w:r>
      <w:r>
        <w:rPr>
          <w:rFonts w:hint="eastAsia" w:ascii="宋体" w:hAnsi="宋体"/>
          <w:highlight w:val="none"/>
        </w:rPr>
        <w:t>[</w:t>
      </w:r>
      <w:r>
        <w:rPr>
          <w:rFonts w:hint="eastAsia" w:ascii="宋体" w:hAnsi="宋体"/>
          <w:highlight w:val="none"/>
          <w:lang w:val="en-US" w:eastAsia="zh-CN"/>
        </w:rPr>
        <w:t>S</w:t>
      </w:r>
      <w:r>
        <w:rPr>
          <w:rFonts w:hint="eastAsia" w:ascii="宋体" w:hAnsi="宋体"/>
          <w:highlight w:val="none"/>
        </w:rPr>
        <w:t>].北京:中国医药科技出版社,2018.</w:t>
      </w:r>
    </w:p>
    <w:p w14:paraId="2DF1A54E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hint="eastAsia" w:ascii="宋体" w:hAnsi="宋体" w:eastAsia="宋体"/>
          <w:highlight w:val="none"/>
          <w:lang w:val="en-US" w:eastAsia="zh-CN"/>
        </w:rPr>
      </w:pPr>
      <w:r>
        <w:rPr>
          <w:rFonts w:hint="eastAsia" w:ascii="宋体" w:hAnsi="宋体"/>
          <w:highlight w:val="none"/>
        </w:rPr>
        <w:t>[</w:t>
      </w:r>
      <w:r>
        <w:rPr>
          <w:rFonts w:hint="eastAsia" w:ascii="宋体" w:hAnsi="宋体"/>
          <w:highlight w:val="none"/>
          <w:lang w:val="en-US" w:eastAsia="zh-CN"/>
        </w:rPr>
        <w:t>4</w:t>
      </w:r>
      <w:r>
        <w:rPr>
          <w:rFonts w:hint="eastAsia" w:ascii="宋体" w:hAnsi="宋体"/>
          <w:highlight w:val="none"/>
        </w:rPr>
        <w:t>] 彭成.中华道地药材[M].中国中医药出版社</w:t>
      </w:r>
      <w:r>
        <w:rPr>
          <w:rFonts w:hint="eastAsia" w:ascii="宋体" w:hAnsi="宋体"/>
          <w:highlight w:val="none"/>
          <w:lang w:val="en-US" w:eastAsia="zh-CN"/>
        </w:rPr>
        <w:t>,</w:t>
      </w:r>
      <w:r>
        <w:rPr>
          <w:rFonts w:hint="eastAsia" w:ascii="宋体" w:hAnsi="宋体"/>
          <w:highlight w:val="none"/>
        </w:rPr>
        <w:t>2013</w:t>
      </w:r>
      <w:r>
        <w:rPr>
          <w:rFonts w:hint="eastAsia" w:ascii="宋体" w:hAnsi="宋体"/>
          <w:highlight w:val="none"/>
          <w:lang w:val="en-US" w:eastAsia="zh-CN"/>
        </w:rPr>
        <w:t>.</w:t>
      </w:r>
    </w:p>
    <w:p w14:paraId="00E1E47B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hint="eastAsia" w:ascii="宋体" w:hAnsi="宋体" w:eastAsia="宋体"/>
          <w:highlight w:val="none"/>
          <w:lang w:val="en-US" w:eastAsia="zh-CN"/>
        </w:rPr>
      </w:pPr>
      <w:r>
        <w:rPr>
          <w:rFonts w:hint="eastAsia" w:ascii="宋体" w:hAnsi="宋体"/>
          <w:highlight w:val="none"/>
        </w:rPr>
        <w:t>[</w:t>
      </w:r>
      <w:r>
        <w:rPr>
          <w:rFonts w:hint="eastAsia" w:ascii="宋体" w:hAnsi="宋体"/>
          <w:highlight w:val="none"/>
          <w:lang w:val="en-US" w:eastAsia="zh-CN"/>
        </w:rPr>
        <w:t>5</w:t>
      </w:r>
      <w:r>
        <w:rPr>
          <w:rFonts w:hint="eastAsia" w:ascii="宋体" w:hAnsi="宋体"/>
          <w:highlight w:val="none"/>
        </w:rPr>
        <w:t>] 肖小河</w:t>
      </w:r>
      <w:r>
        <w:rPr>
          <w:rFonts w:hint="eastAsia" w:ascii="宋体" w:hAnsi="宋体"/>
          <w:highlight w:val="none"/>
          <w:lang w:val="en-US" w:eastAsia="zh-CN"/>
        </w:rPr>
        <w:t>,</w:t>
      </w:r>
      <w:r>
        <w:rPr>
          <w:rFonts w:hint="eastAsia" w:ascii="宋体" w:hAnsi="宋体"/>
          <w:highlight w:val="none"/>
        </w:rPr>
        <w:t>黄璐琦.中药材商品规格标准化研究[M].人民卫生出版社,2016</w:t>
      </w:r>
      <w:r>
        <w:rPr>
          <w:rFonts w:hint="eastAsia" w:ascii="宋体" w:hAnsi="宋体"/>
          <w:highlight w:val="none"/>
          <w:lang w:val="en-US" w:eastAsia="zh-CN"/>
        </w:rPr>
        <w:t>.</w:t>
      </w:r>
    </w:p>
    <w:p w14:paraId="32E0A6FC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hint="eastAsia" w:ascii="宋体" w:hAnsi="宋体" w:eastAsia="宋体"/>
          <w:highlight w:val="none"/>
          <w:lang w:val="en-US" w:eastAsia="zh-CN"/>
        </w:rPr>
      </w:pPr>
      <w:r>
        <w:rPr>
          <w:rFonts w:hint="eastAsia" w:ascii="宋体" w:hAnsi="宋体"/>
          <w:highlight w:val="none"/>
        </w:rPr>
        <w:t>[</w:t>
      </w:r>
      <w:r>
        <w:rPr>
          <w:rFonts w:hint="eastAsia" w:ascii="宋体" w:hAnsi="宋体"/>
          <w:highlight w:val="none"/>
          <w:lang w:val="en-US" w:eastAsia="zh-CN"/>
        </w:rPr>
        <w:t>6</w:t>
      </w:r>
      <w:r>
        <w:rPr>
          <w:rFonts w:hint="eastAsia" w:ascii="宋体" w:hAnsi="宋体"/>
          <w:highlight w:val="none"/>
        </w:rPr>
        <w:t>] 黄璐琦</w:t>
      </w:r>
      <w:r>
        <w:rPr>
          <w:rFonts w:hint="eastAsia" w:ascii="宋体" w:hAnsi="宋体"/>
          <w:highlight w:val="none"/>
          <w:lang w:val="en-US" w:eastAsia="zh-CN"/>
        </w:rPr>
        <w:t>,</w:t>
      </w:r>
      <w:r>
        <w:rPr>
          <w:rFonts w:hint="eastAsia" w:ascii="宋体" w:hAnsi="宋体"/>
          <w:highlight w:val="none"/>
        </w:rPr>
        <w:t>詹志来</w:t>
      </w:r>
      <w:r>
        <w:rPr>
          <w:rFonts w:hint="eastAsia" w:ascii="宋体" w:hAnsi="宋体"/>
          <w:highlight w:val="none"/>
          <w:lang w:val="en-US" w:eastAsia="zh-CN"/>
        </w:rPr>
        <w:t>,</w:t>
      </w:r>
      <w:r>
        <w:rPr>
          <w:rFonts w:hint="eastAsia" w:ascii="宋体" w:hAnsi="宋体"/>
          <w:highlight w:val="none"/>
        </w:rPr>
        <w:t>郭兰萍</w:t>
      </w:r>
      <w:r>
        <w:rPr>
          <w:rFonts w:hint="eastAsia" w:ascii="宋体" w:hAnsi="宋体"/>
          <w:highlight w:val="none"/>
          <w:lang w:val="en-US" w:eastAsia="zh-CN"/>
        </w:rPr>
        <w:t>,等</w:t>
      </w:r>
      <w:r>
        <w:rPr>
          <w:rFonts w:hint="eastAsia" w:ascii="宋体" w:hAnsi="宋体"/>
          <w:highlight w:val="none"/>
        </w:rPr>
        <w:t>.中药材商品规格等级标准汇编[</w:t>
      </w:r>
      <w:r>
        <w:rPr>
          <w:rFonts w:hint="eastAsia" w:ascii="宋体" w:hAnsi="宋体"/>
          <w:highlight w:val="none"/>
          <w:lang w:val="en-US" w:eastAsia="zh-CN"/>
        </w:rPr>
        <w:t>G</w:t>
      </w:r>
      <w:r>
        <w:rPr>
          <w:rFonts w:hint="eastAsia" w:ascii="宋体" w:hAnsi="宋体"/>
          <w:highlight w:val="none"/>
        </w:rPr>
        <w:t>].中国中医药出版社</w:t>
      </w:r>
      <w:r>
        <w:rPr>
          <w:rFonts w:hint="eastAsia" w:ascii="宋体" w:hAnsi="宋体"/>
          <w:highlight w:val="none"/>
          <w:lang w:val="en-US" w:eastAsia="zh-CN"/>
        </w:rPr>
        <w:t>,</w:t>
      </w:r>
      <w:r>
        <w:rPr>
          <w:rFonts w:hint="eastAsia" w:ascii="宋体" w:hAnsi="宋体"/>
          <w:highlight w:val="none"/>
        </w:rPr>
        <w:t>2019</w:t>
      </w:r>
      <w:r>
        <w:rPr>
          <w:rFonts w:hint="eastAsia" w:ascii="宋体" w:hAnsi="宋体"/>
          <w:highlight w:val="none"/>
          <w:lang w:val="en-US" w:eastAsia="zh-CN"/>
        </w:rPr>
        <w:t>.</w:t>
      </w:r>
    </w:p>
    <w:p w14:paraId="73DDB401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hint="eastAsia" w:ascii="宋体" w:hAnsi="宋体" w:eastAsia="宋体"/>
          <w:highlight w:val="none"/>
          <w:lang w:val="en-US" w:eastAsia="zh-CN"/>
        </w:rPr>
      </w:pPr>
      <w:r>
        <w:rPr>
          <w:rFonts w:hint="eastAsia" w:ascii="宋体" w:hAnsi="宋体"/>
          <w:highlight w:val="none"/>
        </w:rPr>
        <w:t>[</w:t>
      </w:r>
      <w:r>
        <w:rPr>
          <w:rFonts w:hint="eastAsia" w:ascii="宋体" w:hAnsi="宋体"/>
          <w:highlight w:val="none"/>
          <w:lang w:val="en-US" w:eastAsia="zh-CN"/>
        </w:rPr>
        <w:t>7</w:t>
      </w:r>
      <w:r>
        <w:rPr>
          <w:rFonts w:hint="eastAsia" w:ascii="宋体" w:hAnsi="宋体"/>
          <w:highlight w:val="none"/>
        </w:rPr>
        <w:t>] 黄璐琦.道地药材品质保证技术研究[M].上海科学技术出版社</w:t>
      </w:r>
      <w:r>
        <w:rPr>
          <w:rFonts w:hint="eastAsia" w:ascii="宋体" w:hAnsi="宋体"/>
          <w:highlight w:val="none"/>
          <w:lang w:val="en-US" w:eastAsia="zh-CN"/>
        </w:rPr>
        <w:t>,</w:t>
      </w:r>
      <w:r>
        <w:rPr>
          <w:rFonts w:hint="eastAsia" w:ascii="宋体" w:hAnsi="宋体"/>
          <w:highlight w:val="none"/>
        </w:rPr>
        <w:t>2017</w:t>
      </w:r>
      <w:r>
        <w:rPr>
          <w:rFonts w:hint="eastAsia" w:ascii="宋体" w:hAnsi="宋体"/>
          <w:highlight w:val="none"/>
          <w:lang w:val="en-US" w:eastAsia="zh-CN"/>
        </w:rPr>
        <w:t>.</w:t>
      </w:r>
    </w:p>
    <w:p w14:paraId="5C6A277B">
      <w:pPr>
        <w:keepNext w:val="0"/>
        <w:keepLines w:val="0"/>
        <w:pageBreakBefore w:val="0"/>
        <w:widowControl w:val="0"/>
        <w:tabs>
          <w:tab w:val="center" w:pos="0"/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 w:firstLineChars="200"/>
        <w:jc w:val="left"/>
        <w:textAlignment w:val="auto"/>
        <w:rPr>
          <w:rFonts w:ascii="Times New Roman" w:hAnsi="Times New Roman"/>
        </w:rPr>
      </w:pPr>
      <w:r>
        <w:rPr>
          <w:rFonts w:hint="eastAsia" w:ascii="宋体" w:hAnsi="宋体"/>
          <w:highlight w:val="none"/>
        </w:rPr>
        <w:t>[</w:t>
      </w:r>
      <w:r>
        <w:rPr>
          <w:rFonts w:hint="eastAsia" w:ascii="宋体" w:hAnsi="宋体"/>
          <w:highlight w:val="none"/>
          <w:lang w:val="en-US" w:eastAsia="zh-CN"/>
        </w:rPr>
        <w:t>8</w:t>
      </w:r>
      <w:r>
        <w:rPr>
          <w:rFonts w:hint="eastAsia" w:ascii="宋体" w:hAnsi="宋体"/>
          <w:highlight w:val="none"/>
        </w:rPr>
        <w:t>] 黄璐琦.《新编</w:t>
      </w:r>
      <w:r>
        <w:rPr>
          <w:rFonts w:hint="eastAsia" w:ascii="宋体" w:hAnsi="宋体"/>
        </w:rPr>
        <w:t>中国药材学》[M].中国医药科技出版社</w:t>
      </w:r>
      <w:r>
        <w:rPr>
          <w:rFonts w:hint="eastAsia" w:ascii="宋体" w:hAnsi="宋体"/>
          <w:lang w:val="en-US" w:eastAsia="zh-CN"/>
        </w:rPr>
        <w:t>,</w:t>
      </w:r>
      <w:r>
        <w:rPr>
          <w:rFonts w:hint="eastAsia" w:ascii="宋体" w:hAnsi="宋体"/>
        </w:rPr>
        <w:t>2020</w:t>
      </w:r>
      <w:r>
        <w:rPr>
          <w:rFonts w:hint="eastAsia" w:ascii="Times New Roman" w:hAnsi="Times New Roma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1309370</wp:posOffset>
                </wp:positionH>
                <wp:positionV relativeFrom="paragraph">
                  <wp:posOffset>648335</wp:posOffset>
                </wp:positionV>
                <wp:extent cx="2857500" cy="0"/>
                <wp:effectExtent l="0" t="7620" r="7620" b="15240"/>
                <wp:wrapNone/>
                <wp:docPr id="1" name="直接箭头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0" cy="0"/>
                        </a:xfrm>
                        <a:prstGeom prst="straightConnector1">
                          <a:avLst/>
                        </a:prstGeom>
                        <a:ln w="1587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03.1pt;margin-top:51.05pt;height:0pt;width:225pt;z-index:251668480;mso-width-relative:page;mso-height-relative:page;" filled="f" stroked="t" coordsize="21600,21600" o:gfxdata="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0QZUn1gAAAAsBAAAPAAAAAAAAAAEAIAAAACIAAABkcnMvZG93bnJldi54&#10;bWxQSwECFAAUAAAACACHTuJAshI6vPwBAADtAwAADgAAAAAAAAABACAAAAAlAQAAZHJzL2Uyb0Rv&#10;Yy54bWxQSwUGAAAAAAYABgBZAQAAkwUAAAAA&#10;">
                <v:fill on="f" focussize="0,0"/>
                <v:stroke weight="1.25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lang w:val="en-US" w:eastAsia="zh-CN"/>
        </w:rPr>
        <w:t>.</w:t>
      </w:r>
    </w:p>
    <w:p w14:paraId="49A08620">
      <w:pPr>
        <w:jc w:val="left"/>
        <w:rPr>
          <w:rFonts w:ascii="Times New Roman" w:hAnsi="Times New Roman"/>
        </w:rPr>
      </w:pPr>
    </w:p>
    <w:p w14:paraId="0AC3F518">
      <w:pPr>
        <w:tabs>
          <w:tab w:val="left" w:pos="6408"/>
        </w:tabs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ab/>
      </w:r>
    </w:p>
    <w:p w14:paraId="701F176A">
      <w:pPr>
        <w:rPr>
          <w:rFonts w:ascii="Times New Roman" w:hAnsi="Times New Roman"/>
        </w:rPr>
      </w:pPr>
    </w:p>
    <w:p w14:paraId="0238453A"/>
    <w:sectPr>
      <w:headerReference r:id="rId12" w:type="default"/>
      <w:footerReference r:id="rId13" w:type="default"/>
      <w:footerReference r:id="rId14" w:type="even"/>
      <w:pgSz w:w="11906" w:h="16838"/>
      <w:pgMar w:top="1417" w:right="1134" w:bottom="1134" w:left="1417" w:header="1247" w:footer="850" w:gutter="0"/>
      <w:pgNumType w:fmt="decimal" w:start="1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DB264E">
    <w:pPr>
      <w:pStyle w:val="3"/>
      <w:ind w:firstLine="36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III</w:t>
    </w:r>
    <w:r>
      <w:rPr>
        <w:lang w:val="zh-CN"/>
      </w:rPr>
      <w:fldChar w:fldCharType="end"/>
    </w:r>
  </w:p>
  <w:p w14:paraId="5E32B5E8">
    <w:pPr>
      <w:pStyle w:val="3"/>
      <w:ind w:left="-283" w:leftChars="-135"/>
      <w:jc w:val="right"/>
    </w:pPr>
  </w:p>
  <w:p w14:paraId="78345A8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C25CC7D">
    <w:pPr>
      <w:pStyle w:val="3"/>
      <w:rPr>
        <w:rFonts w:ascii="宋体" w:hAnsi="宋体"/>
      </w:rPr>
    </w:pPr>
    <w:r>
      <w:rPr>
        <w:rFonts w:ascii="宋体" w:hAnsi="宋体"/>
      </w:rPr>
      <w:fldChar w:fldCharType="begin"/>
    </w:r>
    <w:r>
      <w:rPr>
        <w:rFonts w:ascii="宋体" w:hAnsi="宋体"/>
      </w:rPr>
      <w:instrText xml:space="preserve">PAGE   \* MERGEFORMAT</w:instrText>
    </w:r>
    <w:r>
      <w:rPr>
        <w:rFonts w:ascii="宋体" w:hAnsi="宋体"/>
      </w:rPr>
      <w:fldChar w:fldCharType="separate"/>
    </w:r>
    <w:r>
      <w:rPr>
        <w:rFonts w:ascii="宋体" w:hAnsi="宋体"/>
        <w:lang w:val="zh-CN"/>
      </w:rPr>
      <w:t>16</w:t>
    </w:r>
    <w:r>
      <w:rPr>
        <w:rFonts w:ascii="宋体" w:hAnsi="宋体"/>
      </w:rPr>
      <w:fldChar w:fldCharType="end"/>
    </w:r>
  </w:p>
  <w:p w14:paraId="194E17BA"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697079">
    <w:pPr>
      <w:pStyle w:val="3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8E7E4AD">
    <w:pPr>
      <w:pStyle w:val="3"/>
      <w:ind w:firstLine="36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5</w:t>
    </w:r>
    <w:r>
      <w:rPr>
        <w:lang w:val="zh-CN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CABF228">
    <w:pPr>
      <w:pStyle w:val="3"/>
    </w:pPr>
    <w:r>
      <w:rPr>
        <w:rFonts w:ascii="宋体" w:hAnsi="宋体"/>
      </w:rPr>
      <w:fldChar w:fldCharType="begin"/>
    </w:r>
    <w:r>
      <w:rPr>
        <w:rFonts w:ascii="宋体" w:hAnsi="宋体"/>
      </w:rPr>
      <w:instrText xml:space="preserve">PAGE   \* MERGEFORMAT</w:instrText>
    </w:r>
    <w:r>
      <w:rPr>
        <w:rFonts w:ascii="宋体" w:hAnsi="宋体"/>
      </w:rPr>
      <w:fldChar w:fldCharType="separate"/>
    </w:r>
    <w:r>
      <w:rPr>
        <w:rFonts w:ascii="宋体" w:hAnsi="宋体"/>
        <w:lang w:val="zh-CN"/>
      </w:rPr>
      <w:t>6</w:t>
    </w:r>
    <w:r>
      <w:rPr>
        <w:rFonts w:ascii="宋体" w:hAnsi="宋体"/>
        <w:lang w:val="zh-CN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2501641">
    <w:pPr>
      <w:spacing w:line="200" w:lineRule="exact"/>
      <w:jc w:val="righ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4B9550D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950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4B9550D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8998A18">
    <w:pPr>
      <w:spacing w:line="200" w:lineRule="exact"/>
      <w:jc w:val="righ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29BE02A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7052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3z1oQ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989aE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29BE02A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D42AA0">
    <w:pPr>
      <w:pStyle w:val="16"/>
      <w:rPr>
        <w:rFonts w:ascii="黑体" w:hAnsi="黑体" w:eastAsia="黑体"/>
        <w:sz w:val="21"/>
        <w:szCs w:val="21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inside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4586F38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I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4" o:spid="_x0000_s1026" o:spt="202" type="#_x0000_t202" style="position:absolute;left:0pt;margin-top:0pt;height:144pt;width:144pt;mso-position-horizontal:inside;mso-position-horizontal-relative:margin;mso-wrap-style:none;z-index:25166233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DO&#10;qXm5zwAAAAUBAAAPAAAAAAAAAAEAIAAAACIAAABkcnMvZG93bnJldi54bWxQSwECFAAUAAAACACH&#10;TuJAfIm5D/QBAAADBAAADgAAAAAAAAABACAAAAAeAQAAZHJzL2Uyb0RvYy54bWxQSwUGAAAAAAYA&#10;BgBZAQAAhA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4586F38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I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黑体" w:hAnsi="黑体" w:eastAsia="黑体"/>
        <w:sz w:val="21"/>
        <w:szCs w:val="21"/>
      </w:rPr>
      <w:t>RB XXXXX—XXXX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CA3B6B">
    <w:pPr>
      <w:pStyle w:val="4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jc w:val="left"/>
    </w:pPr>
    <w:r>
      <w:rPr>
        <w:rFonts w:hint="eastAsia"/>
      </w:rPr>
      <w:t>T/ZGXCFZXH 0001.</w:t>
    </w:r>
    <w:r>
      <w:rPr>
        <w:rFonts w:hint="eastAsia"/>
        <w:lang w:val="en-US" w:eastAsia="zh-CN"/>
      </w:rPr>
      <w:t>31</w:t>
    </w:r>
    <w:r>
      <w:rPr>
        <w:rFonts w:hint="eastAsia"/>
      </w:rPr>
      <w:t>-2024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E00ED9">
    <w: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inside</wp:align>
              </wp:positionH>
              <wp:positionV relativeFrom="paragraph">
                <wp:posOffset>0</wp:posOffset>
              </wp:positionV>
              <wp:extent cx="58420" cy="161925"/>
              <wp:effectExtent l="0" t="0" r="0" b="0"/>
              <wp:wrapNone/>
              <wp:docPr id="3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42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E797E15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top:0pt;height:12.75pt;width:4.6pt;mso-position-horizontal:inside;mso-position-horizontal-relative:margin;mso-wrap-style:none;z-index:251664384;mso-width-relative:page;mso-height-relative:page;" filled="f" stroked="f" coordsize="21600,21600" o:gfxdata="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icHeo0QAAAAIBAAAPAAAAAAAAAAEAIAAAACIAAABkcnMvZG93bnJldi54bWxQSwECFAAU&#10;AAAACACHTuJAI46PA/gBAAAABAAADgAAAAAAAAABACAAAAAgAQAAZHJzL2Uyb0RvYy54bWxQSwUG&#10;AAAAAAYABgBZAQAAi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E797E15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RB/T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FEEF54">
    <w:pPr>
      <w:pStyle w:val="4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jc w:val="right"/>
    </w:pPr>
    <w:r>
      <w:rPr>
        <w:rFonts w:hint="eastAsia"/>
      </w:rPr>
      <w:t>T/ZGXCFZXH 0001.</w:t>
    </w:r>
    <w:r>
      <w:rPr>
        <w:rFonts w:hint="eastAsia"/>
        <w:lang w:val="en-US" w:eastAsia="zh-CN"/>
      </w:rPr>
      <w:t>31</w:t>
    </w:r>
    <w:r>
      <w:rPr>
        <w:rFonts w:hint="eastAsia"/>
      </w:rPr>
      <w:t>-2024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2B39DE6">
    <w:pPr>
      <w:pStyle w:val="4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jc w:val="right"/>
    </w:pPr>
    <w:r>
      <w:rPr>
        <w:rFonts w:hint="eastAsia"/>
      </w:rPr>
      <w:t>T/ZGXCFZXH 0001.13</w:t>
    </w:r>
    <w:r>
      <w:rPr>
        <w:rFonts w:hint="eastAsia"/>
        <w:lang w:val="en-US" w:eastAsia="zh-CN"/>
      </w:rPr>
      <w:t>2</w:t>
    </w:r>
    <w:r>
      <w:rPr>
        <w:rFonts w:hint="eastAsia"/>
      </w:rPr>
      <w:t>-2024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bordersDoNotSurroundHeader w:val="0"/>
  <w:bordersDoNotSurroundFooter w:val="0"/>
  <w:documentProtection w:enforcement="0"/>
  <w:defaultTabStop w:val="420"/>
  <w:evenAndOddHeaders w:val="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EzNThhZGZiODc5NTE3ODAxMDU0YWNiOGMyYThjMmYifQ=="/>
  </w:docVars>
  <w:rsids>
    <w:rsidRoot w:val="00172A27"/>
    <w:rsid w:val="07D478A0"/>
    <w:rsid w:val="093B4734"/>
    <w:rsid w:val="0BC75F01"/>
    <w:rsid w:val="0E5B4DA8"/>
    <w:rsid w:val="12364E91"/>
    <w:rsid w:val="14F8112C"/>
    <w:rsid w:val="15B2766E"/>
    <w:rsid w:val="16305974"/>
    <w:rsid w:val="176522C3"/>
    <w:rsid w:val="186662F2"/>
    <w:rsid w:val="19E875D6"/>
    <w:rsid w:val="1B5A68E3"/>
    <w:rsid w:val="1B78507E"/>
    <w:rsid w:val="1C8675B7"/>
    <w:rsid w:val="1E515DBA"/>
    <w:rsid w:val="1E861C86"/>
    <w:rsid w:val="1EE32E28"/>
    <w:rsid w:val="1F447C1C"/>
    <w:rsid w:val="23492C57"/>
    <w:rsid w:val="24175F33"/>
    <w:rsid w:val="25213296"/>
    <w:rsid w:val="28550131"/>
    <w:rsid w:val="2A753B73"/>
    <w:rsid w:val="2BB06E38"/>
    <w:rsid w:val="39455658"/>
    <w:rsid w:val="396549D7"/>
    <w:rsid w:val="398E66CE"/>
    <w:rsid w:val="3ADE58CF"/>
    <w:rsid w:val="3BDB6C3F"/>
    <w:rsid w:val="3C975B84"/>
    <w:rsid w:val="3E966725"/>
    <w:rsid w:val="3F205D77"/>
    <w:rsid w:val="3FF33D92"/>
    <w:rsid w:val="40FE3359"/>
    <w:rsid w:val="43213703"/>
    <w:rsid w:val="46566D64"/>
    <w:rsid w:val="476A49CF"/>
    <w:rsid w:val="47F747F9"/>
    <w:rsid w:val="48174D5D"/>
    <w:rsid w:val="4B491A0D"/>
    <w:rsid w:val="4E1C64F6"/>
    <w:rsid w:val="4E4B6454"/>
    <w:rsid w:val="4F145070"/>
    <w:rsid w:val="5073598C"/>
    <w:rsid w:val="50C518E9"/>
    <w:rsid w:val="522A30F1"/>
    <w:rsid w:val="54EF6B0D"/>
    <w:rsid w:val="556B21D1"/>
    <w:rsid w:val="56121E41"/>
    <w:rsid w:val="578D1898"/>
    <w:rsid w:val="5835275A"/>
    <w:rsid w:val="595A2602"/>
    <w:rsid w:val="59E470D5"/>
    <w:rsid w:val="5D2D6150"/>
    <w:rsid w:val="5F8A1E93"/>
    <w:rsid w:val="605E0644"/>
    <w:rsid w:val="6655667C"/>
    <w:rsid w:val="68600824"/>
    <w:rsid w:val="6D615FCC"/>
    <w:rsid w:val="6DC3464C"/>
    <w:rsid w:val="6FB506AC"/>
    <w:rsid w:val="719605A0"/>
    <w:rsid w:val="71D36D7A"/>
    <w:rsid w:val="72D80001"/>
    <w:rsid w:val="7446043D"/>
    <w:rsid w:val="746F2FAE"/>
    <w:rsid w:val="75843AD1"/>
    <w:rsid w:val="75C90F16"/>
    <w:rsid w:val="76031347"/>
    <w:rsid w:val="7C5965CF"/>
    <w:rsid w:val="7D052701"/>
    <w:rsid w:val="7F17164D"/>
    <w:rsid w:val="7F2519F6"/>
    <w:rsid w:val="7F7A5C10"/>
    <w:rsid w:val="7FCD5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qFormat/>
    <w:uiPriority w:val="1"/>
    <w:pPr>
      <w:ind w:left="120"/>
    </w:pPr>
    <w:rPr>
      <w:rFonts w:ascii="宋体" w:hAnsi="宋体"/>
      <w:szCs w:val="21"/>
    </w:rPr>
  </w:style>
  <w:style w:type="paragraph" w:styleId="3">
    <w:name w:val="foot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autoRedefine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toc 1"/>
    <w:basedOn w:val="1"/>
    <w:next w:val="1"/>
    <w:autoRedefine/>
    <w:qFormat/>
    <w:uiPriority w:val="39"/>
  </w:style>
  <w:style w:type="paragraph" w:styleId="6">
    <w:name w:val="toc 2"/>
    <w:basedOn w:val="1"/>
    <w:next w:val="1"/>
    <w:autoRedefine/>
    <w:qFormat/>
    <w:uiPriority w:val="39"/>
    <w:pPr>
      <w:ind w:left="420" w:leftChars="200"/>
    </w:pPr>
  </w:style>
  <w:style w:type="character" w:styleId="9">
    <w:name w:val="Hyperlink"/>
    <w:autoRedefine/>
    <w:unhideWhenUsed/>
    <w:qFormat/>
    <w:uiPriority w:val="99"/>
    <w:rPr>
      <w:color w:val="0000FF"/>
      <w:u w:val="none"/>
    </w:rPr>
  </w:style>
  <w:style w:type="paragraph" w:customStyle="1" w:styleId="10">
    <w:name w:val="实施日期"/>
    <w:basedOn w:val="11"/>
    <w:autoRedefine/>
    <w:qFormat/>
    <w:uiPriority w:val="0"/>
    <w:pPr>
      <w:framePr w:wrap="around" w:vAnchor="page" w:hAnchor="text"/>
      <w:jc w:val="right"/>
    </w:pPr>
  </w:style>
  <w:style w:type="paragraph" w:customStyle="1" w:styleId="11">
    <w:name w:val="发布日期"/>
    <w:autoRedefine/>
    <w:qFormat/>
    <w:uiPriority w:val="0"/>
    <w:pPr>
      <w:framePr w:w="3997" w:h="471" w:hRule="exact" w:vSpace="181" w:wrap="around" w:vAnchor="margin" w:hAnchor="page" w:x="7089" w:y="14097" w:anchorLock="1"/>
    </w:pPr>
    <w:rPr>
      <w:rFonts w:ascii="Times New Roman" w:hAnsi="Times New Roman" w:eastAsia="黑体" w:cs="Times New Roman"/>
      <w:sz w:val="28"/>
      <w:lang w:val="en-US" w:eastAsia="zh-CN" w:bidi="ar-SA"/>
    </w:rPr>
  </w:style>
  <w:style w:type="paragraph" w:customStyle="1" w:styleId="12">
    <w:name w:val="段"/>
    <w:autoRedefine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Times New Roman" w:cs="Times New Roman"/>
      <w:sz w:val="21"/>
      <w:lang w:val="en-US" w:eastAsia="zh-CN" w:bidi="ar-SA"/>
    </w:rPr>
  </w:style>
  <w:style w:type="paragraph" w:customStyle="1" w:styleId="13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黑体" w:hAnsi="Times New Roman" w:eastAsia="黑体" w:cs="黑体"/>
      <w:color w:val="000000"/>
      <w:sz w:val="24"/>
      <w:szCs w:val="24"/>
      <w:lang w:val="en-US" w:eastAsia="zh-CN" w:bidi="ar-SA"/>
    </w:rPr>
  </w:style>
  <w:style w:type="paragraph" w:customStyle="1" w:styleId="14">
    <w:name w:val="文献分类号"/>
    <w:autoRedefine/>
    <w:qFormat/>
    <w:uiPriority w:val="0"/>
    <w:pPr>
      <w:framePr w:hSpace="180" w:vSpace="180" w:wrap="around" w:vAnchor="margin" w:hAnchor="margin" w:y="1" w:anchorLock="1"/>
      <w:widowControl w:val="0"/>
      <w:textAlignment w:val="center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15">
    <w:name w:val="标准称谓"/>
    <w:next w:val="1"/>
    <w:autoRedefine/>
    <w:qFormat/>
    <w:uiPriority w:val="0"/>
    <w:pPr>
      <w:framePr w:w="9639" w:h="624" w:hRule="exact" w:hSpace="181" w:vSpace="181" w:wrap="around" w:vAnchor="page" w:hAnchor="page" w:x="1419" w:y="2286" w:anchorLock="1"/>
      <w:widowControl w:val="0"/>
      <w:kinsoku w:val="0"/>
      <w:overflowPunct w:val="0"/>
      <w:autoSpaceDE w:val="0"/>
      <w:autoSpaceDN w:val="0"/>
      <w:spacing w:line="240" w:lineRule="atLeast"/>
      <w:jc w:val="distribute"/>
    </w:pPr>
    <w:rPr>
      <w:rFonts w:ascii="宋体" w:hAnsi="Times New Roman" w:eastAsia="宋体" w:cs="Times New Roman"/>
      <w:b/>
      <w:bCs/>
      <w:spacing w:val="20"/>
      <w:w w:val="148"/>
      <w:sz w:val="48"/>
      <w:lang w:val="en-US" w:eastAsia="zh-CN" w:bidi="ar-SA"/>
    </w:rPr>
  </w:style>
  <w:style w:type="paragraph" w:customStyle="1" w:styleId="16">
    <w:name w:val="封面标准号1"/>
    <w:autoRedefine/>
    <w:qFormat/>
    <w:uiPriority w:val="0"/>
    <w:pPr>
      <w:widowControl w:val="0"/>
      <w:kinsoku w:val="0"/>
      <w:overflowPunct w:val="0"/>
      <w:autoSpaceDE w:val="0"/>
      <w:autoSpaceDN w:val="0"/>
      <w:spacing w:before="308"/>
      <w:jc w:val="right"/>
      <w:textAlignment w:val="center"/>
    </w:pPr>
    <w:rPr>
      <w:rFonts w:ascii="Times New Roman" w:hAnsi="Times New Roman" w:eastAsia="宋体" w:cs="Times New Roman"/>
      <w:sz w:val="28"/>
      <w:lang w:val="en-US" w:eastAsia="zh-CN" w:bidi="ar-SA"/>
    </w:rPr>
  </w:style>
  <w:style w:type="paragraph" w:customStyle="1" w:styleId="17">
    <w:name w:val="发布部门"/>
    <w:next w:val="1"/>
    <w:autoRedefine/>
    <w:qFormat/>
    <w:uiPriority w:val="0"/>
    <w:pPr>
      <w:framePr w:w="7938" w:h="1134" w:hRule="exact" w:hSpace="125" w:vSpace="181" w:wrap="around" w:vAnchor="page" w:hAnchor="page" w:x="2150" w:y="14630" w:anchorLock="1"/>
      <w:jc w:val="center"/>
    </w:pPr>
    <w:rPr>
      <w:rFonts w:ascii="宋体" w:hAnsi="Times New Roman" w:eastAsia="宋体" w:cs="Times New Roman"/>
      <w:b/>
      <w:spacing w:val="20"/>
      <w:w w:val="135"/>
      <w:sz w:val="2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3.png"/><Relationship Id="rId17" Type="http://schemas.openxmlformats.org/officeDocument/2006/relationships/image" Target="media/image2.png"/><Relationship Id="rId16" Type="http://schemas.openxmlformats.org/officeDocument/2006/relationships/image" Target="media/image1.jpeg"/><Relationship Id="rId15" Type="http://schemas.openxmlformats.org/officeDocument/2006/relationships/theme" Target="theme/theme1.xml"/><Relationship Id="rId14" Type="http://schemas.openxmlformats.org/officeDocument/2006/relationships/footer" Target="footer7.xml"/><Relationship Id="rId13" Type="http://schemas.openxmlformats.org/officeDocument/2006/relationships/footer" Target="footer6.xml"/><Relationship Id="rId12" Type="http://schemas.openxmlformats.org/officeDocument/2006/relationships/header" Target="header5.xml"/><Relationship Id="rId11" Type="http://schemas.openxmlformats.org/officeDocument/2006/relationships/footer" Target="footer5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2176</Words>
  <Characters>2808</Characters>
  <Lines>0</Lines>
  <Paragraphs>0</Paragraphs>
  <TotalTime>0</TotalTime>
  <ScaleCrop>false</ScaleCrop>
  <LinksUpToDate>false</LinksUpToDate>
  <CharactersWithSpaces>2918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2024-04-07T02:30:00Z</dcterms:created>
  <dc:creator>王琦</dc:creator>
  <cp:lastModifiedBy>杨～有机认证</cp:lastModifiedBy>
  <dcterms:modified xsi:type="dcterms:W3CDTF">2024-11-20T09:03:48Z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1340DE81D5B74F1B9C4914D310F33B84_11</vt:lpwstr>
  </property>
</Properties>
</file>