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711768">
      <w:pPr>
        <w:keepNext w:val="0"/>
        <w:keepLines w:val="0"/>
        <w:pageBreakBefore w:val="0"/>
        <w:kinsoku/>
        <w:wordWrap/>
        <w:overflowPunct/>
        <w:topLinePunct w:val="0"/>
        <w:bidi w:val="0"/>
        <w:adjustRightInd/>
        <w:snapToGrid/>
        <w:spacing w:before="157" w:beforeLines="50" w:after="157" w:afterLines="50" w:line="240" w:lineRule="auto"/>
        <w:ind w:right="-313" w:rightChars="-149"/>
        <w:jc w:val="left"/>
        <w:rPr>
          <w:rFonts w:ascii="黑体" w:hAnsi="黑体" w:eastAsia="黑体"/>
          <w:bCs/>
          <w:color w:val="000000" w:themeColor="text1"/>
          <w:szCs w:val="21"/>
          <w:highlight w:val="none"/>
          <w14:textFill>
            <w14:solidFill>
              <w14:schemeClr w14:val="tx1"/>
            </w14:solidFill>
          </w14:textFill>
        </w:rPr>
      </w:pPr>
      <w:r>
        <w:rPr>
          <w:rFonts w:ascii="黑体" w:hAnsi="黑体" w:eastAsia="黑体"/>
          <w:bCs/>
          <w:color w:val="000000" w:themeColor="text1"/>
          <w:szCs w:val="21"/>
          <w:highlight w:val="none"/>
          <w14:textFill>
            <w14:solidFill>
              <w14:schemeClr w14:val="tx1"/>
            </w14:solidFill>
          </w14:textFill>
        </w:rPr>
        <mc:AlternateContent>
          <mc:Choice Requires="wps">
            <w:drawing>
              <wp:anchor distT="0" distB="0" distL="114300" distR="114300" simplePos="0" relativeHeight="251663360" behindDoc="0" locked="1" layoutInCell="1" allowOverlap="1">
                <wp:simplePos x="0" y="0"/>
                <wp:positionH relativeFrom="margin">
                  <wp:posOffset>-243205</wp:posOffset>
                </wp:positionH>
                <wp:positionV relativeFrom="margin">
                  <wp:posOffset>-405765</wp:posOffset>
                </wp:positionV>
                <wp:extent cx="1571625" cy="657860"/>
                <wp:effectExtent l="0" t="0" r="13335" b="12700"/>
                <wp:wrapNone/>
                <wp:docPr id="14" name="fmFrame1"/>
                <wp:cNvGraphicFramePr/>
                <a:graphic xmlns:a="http://schemas.openxmlformats.org/drawingml/2006/main">
                  <a:graphicData uri="http://schemas.microsoft.com/office/word/2010/wordprocessingShape">
                    <wps:wsp>
                      <wps:cNvSpPr txBox="1">
                        <a:spLocks noChangeArrowheads="1"/>
                      </wps:cNvSpPr>
                      <wps:spPr bwMode="auto">
                        <a:xfrm>
                          <a:off x="0" y="0"/>
                          <a:ext cx="1571625" cy="657860"/>
                        </a:xfrm>
                        <a:prstGeom prst="rect">
                          <a:avLst/>
                        </a:prstGeom>
                        <a:solidFill>
                          <a:srgbClr val="FFFFFF"/>
                        </a:solidFill>
                        <a:ln>
                          <a:noFill/>
                        </a:ln>
                      </wps:spPr>
                      <wps:txbx>
                        <w:txbxContent>
                          <w:p w14:paraId="170C7456">
                            <w:pPr>
                              <w:pStyle w:val="17"/>
                              <w:rPr>
                                <w:rFonts w:cs="黑体"/>
                              </w:rPr>
                            </w:pPr>
                            <w:r>
                              <w:rPr>
                                <w:rFonts w:cs="黑体"/>
                              </w:rPr>
                              <w:t xml:space="preserve">ICS </w:t>
                            </w:r>
                            <w:r>
                              <w:rPr>
                                <w:rFonts w:hint="eastAsia" w:cs="黑体"/>
                              </w:rPr>
                              <w:t>03</w:t>
                            </w:r>
                            <w:r>
                              <w:rPr>
                                <w:rFonts w:cs="黑体"/>
                              </w:rPr>
                              <w:t>.</w:t>
                            </w:r>
                            <w:r>
                              <w:rPr>
                                <w:rFonts w:hint="eastAsia" w:cs="黑体"/>
                              </w:rPr>
                              <w:t>120</w:t>
                            </w:r>
                            <w:r>
                              <w:rPr>
                                <w:rFonts w:cs="黑体"/>
                              </w:rPr>
                              <w:t>.</w:t>
                            </w:r>
                            <w:r>
                              <w:rPr>
                                <w:rFonts w:hint="eastAsia" w:cs="黑体"/>
                              </w:rPr>
                              <w:t>20</w:t>
                            </w:r>
                          </w:p>
                          <w:p w14:paraId="7DC2F7DE">
                            <w:pPr>
                              <w:pStyle w:val="17"/>
                              <w:rPr>
                                <w:rFonts w:cs="黑体"/>
                              </w:rPr>
                            </w:pPr>
                            <w:r>
                              <w:rPr>
                                <w:rFonts w:cs="黑体"/>
                              </w:rPr>
                              <w:t>A</w:t>
                            </w:r>
                            <w:r>
                              <w:rPr>
                                <w:rFonts w:hint="eastAsia" w:cs="黑体"/>
                              </w:rPr>
                              <w:t xml:space="preserve"> </w:t>
                            </w:r>
                            <w:r>
                              <w:rPr>
                                <w:rFonts w:cs="黑体"/>
                              </w:rPr>
                              <w:t>00</w:t>
                            </w:r>
                          </w:p>
                          <w:p w14:paraId="08CF6F2B">
                            <w:pPr>
                              <w:pStyle w:val="17"/>
                              <w:rPr>
                                <w:rFonts w:cs="黑体"/>
                              </w:rPr>
                            </w:pPr>
                            <w:r>
                              <w:rPr>
                                <w:rFonts w:hint="eastAsia" w:cs="黑体"/>
                              </w:rPr>
                              <w:t>备案号：</w:t>
                            </w:r>
                            <w:r>
                              <w:rPr>
                                <w:rFonts w:cs="黑体"/>
                              </w:rPr>
                              <w:t>XXXX-XXXX</w:t>
                            </w:r>
                          </w:p>
                          <w:p w14:paraId="344CB4B1">
                            <w:pPr>
                              <w:pStyle w:val="17"/>
                            </w:pPr>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19.15pt;margin-top:-31.95pt;height:51.8pt;width:123.75pt;mso-position-horizontal-relative:margin;mso-position-vertical-relative:margin;z-index:251663360;mso-width-relative:page;mso-height-relative:page;" fillcolor="#FFFFFF" filled="t" stroked="f" coordsize="21600,21600" o:gfxdata="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w99zi2gAAAAoBAAAPAAAAAAAA&#10;AAEAIAAAACIAAABkcnMvZG93bnJldi54bWxQSwECFAAUAAAACACHTuJApkXqbxACAAAsBAAADgAA&#10;AAAAAAABACAAAAApAQAAZHJzL2Uyb0RvYy54bWxQSwUGAAAAAAYABgBZAQAAqwUAAAAA&#10;">
                <v:fill on="t" focussize="0,0"/>
                <v:stroke on="f"/>
                <v:imagedata o:title=""/>
                <o:lock v:ext="edit" aspectratio="f"/>
                <v:textbox inset="0mm,0mm,0mm,0mm">
                  <w:txbxContent>
                    <w:p w14:paraId="170C7456">
                      <w:pPr>
                        <w:pStyle w:val="17"/>
                        <w:rPr>
                          <w:rFonts w:cs="黑体"/>
                        </w:rPr>
                      </w:pPr>
                      <w:r>
                        <w:rPr>
                          <w:rFonts w:cs="黑体"/>
                        </w:rPr>
                        <w:t xml:space="preserve">ICS </w:t>
                      </w:r>
                      <w:r>
                        <w:rPr>
                          <w:rFonts w:hint="eastAsia" w:cs="黑体"/>
                        </w:rPr>
                        <w:t>03</w:t>
                      </w:r>
                      <w:r>
                        <w:rPr>
                          <w:rFonts w:cs="黑体"/>
                        </w:rPr>
                        <w:t>.</w:t>
                      </w:r>
                      <w:r>
                        <w:rPr>
                          <w:rFonts w:hint="eastAsia" w:cs="黑体"/>
                        </w:rPr>
                        <w:t>120</w:t>
                      </w:r>
                      <w:r>
                        <w:rPr>
                          <w:rFonts w:cs="黑体"/>
                        </w:rPr>
                        <w:t>.</w:t>
                      </w:r>
                      <w:r>
                        <w:rPr>
                          <w:rFonts w:hint="eastAsia" w:cs="黑体"/>
                        </w:rPr>
                        <w:t>20</w:t>
                      </w:r>
                    </w:p>
                    <w:p w14:paraId="7DC2F7DE">
                      <w:pPr>
                        <w:pStyle w:val="17"/>
                        <w:rPr>
                          <w:rFonts w:cs="黑体"/>
                        </w:rPr>
                      </w:pPr>
                      <w:r>
                        <w:rPr>
                          <w:rFonts w:cs="黑体"/>
                        </w:rPr>
                        <w:t>A</w:t>
                      </w:r>
                      <w:r>
                        <w:rPr>
                          <w:rFonts w:hint="eastAsia" w:cs="黑体"/>
                        </w:rPr>
                        <w:t xml:space="preserve"> </w:t>
                      </w:r>
                      <w:r>
                        <w:rPr>
                          <w:rFonts w:cs="黑体"/>
                        </w:rPr>
                        <w:t>00</w:t>
                      </w:r>
                    </w:p>
                    <w:p w14:paraId="08CF6F2B">
                      <w:pPr>
                        <w:pStyle w:val="17"/>
                        <w:rPr>
                          <w:rFonts w:cs="黑体"/>
                        </w:rPr>
                      </w:pPr>
                      <w:r>
                        <w:rPr>
                          <w:rFonts w:hint="eastAsia" w:cs="黑体"/>
                        </w:rPr>
                        <w:t>备案号：</w:t>
                      </w:r>
                      <w:r>
                        <w:rPr>
                          <w:rFonts w:cs="黑体"/>
                        </w:rPr>
                        <w:t>XXXX-XXXX</w:t>
                      </w:r>
                    </w:p>
                    <w:p w14:paraId="344CB4B1">
                      <w:pPr>
                        <w:pStyle w:val="17"/>
                      </w:pPr>
                    </w:p>
                  </w:txbxContent>
                </v:textbox>
                <w10:anchorlock/>
              </v:shape>
            </w:pict>
          </mc:Fallback>
        </mc:AlternateContent>
      </w:r>
    </w:p>
    <w:p w14:paraId="16A491D3">
      <w:pPr>
        <w:keepNext w:val="0"/>
        <w:keepLines w:val="0"/>
        <w:pageBreakBefore w:val="0"/>
        <w:kinsoku/>
        <w:wordWrap/>
        <w:overflowPunct/>
        <w:topLinePunct w:val="0"/>
        <w:bidi w:val="0"/>
        <w:adjustRightInd/>
        <w:snapToGrid/>
        <w:spacing w:before="157" w:beforeLines="50" w:after="157" w:afterLines="50" w:line="240" w:lineRule="auto"/>
        <w:jc w:val="left"/>
        <w:rPr>
          <w:rFonts w:ascii="宋体" w:hAnsi="宋体"/>
          <w:bCs/>
          <w:color w:val="000000" w:themeColor="text1"/>
          <w:sz w:val="32"/>
          <w:szCs w:val="32"/>
          <w:highlight w:val="none"/>
          <w14:textFill>
            <w14:solidFill>
              <w14:schemeClr w14:val="tx1"/>
            </w14:solidFill>
          </w14:textFill>
        </w:rPr>
      </w:pPr>
    </w:p>
    <w:p w14:paraId="4124D13C">
      <w:pPr>
        <w:keepNext w:val="0"/>
        <w:keepLines w:val="0"/>
        <w:pageBreakBefore w:val="0"/>
        <w:kinsoku/>
        <w:wordWrap/>
        <w:overflowPunct/>
        <w:topLinePunct w:val="0"/>
        <w:bidi w:val="0"/>
        <w:adjustRightInd/>
        <w:snapToGrid/>
        <w:spacing w:before="157" w:beforeLines="50" w:after="157" w:afterLines="50" w:line="240" w:lineRule="auto"/>
        <w:jc w:val="left"/>
        <w:rPr>
          <w:rFonts w:ascii="宋体" w:hAnsi="宋体"/>
          <w:bCs/>
          <w:color w:val="000000" w:themeColor="text1"/>
          <w:sz w:val="32"/>
          <w:szCs w:val="32"/>
          <w:highlight w:val="none"/>
          <w14:textFill>
            <w14:solidFill>
              <w14:schemeClr w14:val="tx1"/>
            </w14:solidFill>
          </w14:textFill>
        </w:rPr>
      </w:pPr>
      <w:r>
        <w:rPr>
          <w:rFonts w:ascii="宋体" w:hAnsi="宋体"/>
          <w:bCs/>
          <w:color w:val="000000" w:themeColor="text1"/>
          <w:sz w:val="32"/>
          <w:szCs w:val="32"/>
          <w:highlight w:val="none"/>
          <w14:textFill>
            <w14:solidFill>
              <w14:schemeClr w14:val="tx1"/>
            </w14:solidFill>
          </w14:textFill>
        </w:rPr>
        <mc:AlternateContent>
          <mc:Choice Requires="wps">
            <w:drawing>
              <wp:anchor distT="0" distB="0" distL="114300" distR="114300" simplePos="0" relativeHeight="251659264" behindDoc="0" locked="1" layoutInCell="1" allowOverlap="1">
                <wp:simplePos x="0" y="0"/>
                <wp:positionH relativeFrom="margin">
                  <wp:posOffset>2696845</wp:posOffset>
                </wp:positionH>
                <wp:positionV relativeFrom="margin">
                  <wp:posOffset>-250825</wp:posOffset>
                </wp:positionV>
                <wp:extent cx="3232150" cy="588010"/>
                <wp:effectExtent l="0" t="0" r="13970" b="6350"/>
                <wp:wrapNone/>
                <wp:docPr id="13" name="Text Box 3"/>
                <wp:cNvGraphicFramePr/>
                <a:graphic xmlns:a="http://schemas.openxmlformats.org/drawingml/2006/main">
                  <a:graphicData uri="http://schemas.microsoft.com/office/word/2010/wordprocessingShape">
                    <wps:wsp>
                      <wps:cNvSpPr txBox="1">
                        <a:spLocks noChangeArrowheads="1"/>
                      </wps:cNvSpPr>
                      <wps:spPr bwMode="auto">
                        <a:xfrm>
                          <a:off x="0" y="0"/>
                          <a:ext cx="3232150" cy="588010"/>
                        </a:xfrm>
                        <a:prstGeom prst="rect">
                          <a:avLst/>
                        </a:prstGeom>
                        <a:solidFill>
                          <a:srgbClr val="FFFFFF"/>
                        </a:solidFill>
                        <a:ln>
                          <a:noFill/>
                        </a:ln>
                      </wps:spPr>
                      <wps:txbx>
                        <w:txbxContent>
                          <w:p w14:paraId="556C23CA">
                            <w:pPr>
                              <w:pStyle w:val="17"/>
                              <w:rPr>
                                <w:rFonts w:ascii="Times New Roman" w:eastAsia="楷体_GB2312"/>
                                <w:spacing w:val="2"/>
                                <w:position w:val="6"/>
                                <w:sz w:val="72"/>
                                <w:szCs w:val="72"/>
                              </w:rPr>
                            </w:pPr>
                            <w:r>
                              <w:rPr>
                                <w:rFonts w:hint="eastAsia" w:ascii="Times New Roman" w:eastAsia="楷体_GB2312"/>
                                <w:spacing w:val="2"/>
                                <w:position w:val="6"/>
                                <w:sz w:val="72"/>
                                <w:szCs w:val="72"/>
                              </w:rPr>
                              <w:t>T/ZGXCFZXH</w:t>
                            </w:r>
                            <w:r>
                              <w:rPr>
                                <w:rFonts w:ascii="Times New Roman" w:eastAsia="楷体_GB2312"/>
                                <w:spacing w:val="2"/>
                                <w:position w:val="6"/>
                                <w:sz w:val="72"/>
                                <w:szCs w:val="72"/>
                              </w:rPr>
                              <w:t>B</w:t>
                            </w:r>
                          </w:p>
                        </w:txbxContent>
                      </wps:txbx>
                      <wps:bodyPr rot="0" vert="horz" wrap="square" lIns="0" tIns="0" rIns="0" bIns="0" anchor="t" anchorCtr="0" upright="1">
                        <a:noAutofit/>
                      </wps:bodyPr>
                    </wps:wsp>
                  </a:graphicData>
                </a:graphic>
              </wp:anchor>
            </w:drawing>
          </mc:Choice>
          <mc:Fallback>
            <w:pict>
              <v:shape id="Text Box 3" o:spid="_x0000_s1026" o:spt="202" type="#_x0000_t202" style="position:absolute;left:0pt;margin-left:212.35pt;margin-top:-19.75pt;height:46.3pt;width:254.5pt;mso-position-horizontal-relative:margin;mso-position-vertical-relative:margin;z-index:251659264;mso-width-relative:page;mso-height-relative:page;" fillcolor="#FFFFFF" filled="t" stroked="f" coordsize="21600,21600" o:gfxdata="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XUvke2gAAAAoBAAAPAAAAAAAA&#10;AAEAIAAAACIAAABkcnMvZG93bnJldi54bWxQSwECFAAUAAAACACHTuJAlzgVJhACAAAuBAAADgAA&#10;AAAAAAABACAAAAApAQAAZHJzL2Uyb0RvYy54bWxQSwUGAAAAAAYABgBZAQAAqwUAAAAA&#10;">
                <v:fill on="t" focussize="0,0"/>
                <v:stroke on="f"/>
                <v:imagedata o:title=""/>
                <o:lock v:ext="edit" aspectratio="f"/>
                <v:textbox inset="0mm,0mm,0mm,0mm">
                  <w:txbxContent>
                    <w:p w14:paraId="556C23CA">
                      <w:pPr>
                        <w:pStyle w:val="17"/>
                        <w:rPr>
                          <w:rFonts w:ascii="Times New Roman" w:eastAsia="楷体_GB2312"/>
                          <w:spacing w:val="2"/>
                          <w:position w:val="6"/>
                          <w:sz w:val="72"/>
                          <w:szCs w:val="72"/>
                        </w:rPr>
                      </w:pPr>
                      <w:r>
                        <w:rPr>
                          <w:rFonts w:hint="eastAsia" w:ascii="Times New Roman" w:eastAsia="楷体_GB2312"/>
                          <w:spacing w:val="2"/>
                          <w:position w:val="6"/>
                          <w:sz w:val="72"/>
                          <w:szCs w:val="72"/>
                        </w:rPr>
                        <w:t>T/ZGXCFZXH</w:t>
                      </w:r>
                      <w:r>
                        <w:rPr>
                          <w:rFonts w:ascii="Times New Roman" w:eastAsia="楷体_GB2312"/>
                          <w:spacing w:val="2"/>
                          <w:position w:val="6"/>
                          <w:sz w:val="72"/>
                          <w:szCs w:val="72"/>
                        </w:rPr>
                        <w:t>B</w:t>
                      </w:r>
                    </w:p>
                  </w:txbxContent>
                </v:textbox>
                <w10:anchorlock/>
              </v:shape>
            </w:pict>
          </mc:Fallback>
        </mc:AlternateContent>
      </w:r>
      <w:r>
        <w:rPr>
          <w:rFonts w:ascii="宋体" w:hAnsi="宋体"/>
          <w:bCs/>
          <w:color w:val="000000" w:themeColor="text1"/>
          <w:sz w:val="32"/>
          <w:szCs w:val="32"/>
          <w:highlight w:val="none"/>
          <w14:textFill>
            <w14:solidFill>
              <w14:schemeClr w14:val="tx1"/>
            </w14:solidFill>
          </w14:textFill>
        </w:rPr>
        <mc:AlternateContent>
          <mc:Choice Requires="wps">
            <w:drawing>
              <wp:anchor distT="0" distB="0" distL="114300" distR="114300" simplePos="0" relativeHeight="251660288" behindDoc="0" locked="1" layoutInCell="1" allowOverlap="1">
                <wp:simplePos x="0" y="0"/>
                <wp:positionH relativeFrom="margin">
                  <wp:posOffset>-243205</wp:posOffset>
                </wp:positionH>
                <wp:positionV relativeFrom="margin">
                  <wp:posOffset>456565</wp:posOffset>
                </wp:positionV>
                <wp:extent cx="6120130" cy="391160"/>
                <wp:effectExtent l="0" t="0" r="6350" b="5080"/>
                <wp:wrapNone/>
                <wp:docPr id="11" name="fmFrame2"/>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7D92B67F">
                            <w:pPr>
                              <w:pStyle w:val="18"/>
                              <w:rPr>
                                <w:spacing w:val="0"/>
                                <w:w w:val="120"/>
                                <w:szCs w:val="48"/>
                              </w:rPr>
                            </w:pPr>
                            <w:r>
                              <w:rPr>
                                <w:rFonts w:hint="eastAsia"/>
                                <w:spacing w:val="0"/>
                                <w:w w:val="120"/>
                                <w:szCs w:val="48"/>
                                <w:lang w:val="en-US" w:eastAsia="zh-CN"/>
                              </w:rPr>
                              <w:t>中国乡村发展协会团体</w:t>
                            </w:r>
                            <w:r>
                              <w:rPr>
                                <w:rFonts w:hint="eastAsia"/>
                                <w:spacing w:val="0"/>
                                <w:w w:val="120"/>
                                <w:szCs w:val="48"/>
                              </w:rPr>
                              <w:t>标准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19.15pt;margin-top:35.95pt;height:30.8pt;width:481.9pt;mso-position-horizontal-relative:margin;mso-position-vertical-relative:margin;z-index:251660288;mso-width-relative:page;mso-height-relative:page;" fillcolor="#FFFFFF" filled="t" stroked="f" coordsize="21600,21600" o:gfxdata="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833toAAAAKAQAADwAAAAAAAAAB&#10;ACAAAAAiAAAAZHJzL2Rvd25yZXYueG1sUEsBAhQAFAAAAAgAh07iQL3j9esOAgAALAQAAA4AAAAA&#10;AAAAAQAgAAAAKQEAAGRycy9lMm9Eb2MueG1sUEsFBgAAAAAGAAYAWQEAAKkFAAAAAA==&#10;">
                <v:fill on="t" focussize="0,0"/>
                <v:stroke on="f"/>
                <v:imagedata o:title=""/>
                <o:lock v:ext="edit" aspectratio="f"/>
                <v:textbox inset="0mm,0mm,0mm,0mm">
                  <w:txbxContent>
                    <w:p w14:paraId="7D92B67F">
                      <w:pPr>
                        <w:pStyle w:val="18"/>
                        <w:rPr>
                          <w:spacing w:val="0"/>
                          <w:w w:val="120"/>
                          <w:szCs w:val="48"/>
                        </w:rPr>
                      </w:pPr>
                      <w:r>
                        <w:rPr>
                          <w:rFonts w:hint="eastAsia"/>
                          <w:spacing w:val="0"/>
                          <w:w w:val="120"/>
                          <w:szCs w:val="48"/>
                          <w:lang w:val="en-US" w:eastAsia="zh-CN"/>
                        </w:rPr>
                        <w:t>中国乡村发展协会团体</w:t>
                      </w:r>
                      <w:r>
                        <w:rPr>
                          <w:rFonts w:hint="eastAsia"/>
                          <w:spacing w:val="0"/>
                          <w:w w:val="120"/>
                          <w:szCs w:val="48"/>
                        </w:rPr>
                        <w:t>标准</w:t>
                      </w:r>
                    </w:p>
                  </w:txbxContent>
                </v:textbox>
                <w10:anchorlock/>
              </v:shape>
            </w:pict>
          </mc:Fallback>
        </mc:AlternateContent>
      </w:r>
      <w:r>
        <w:rPr>
          <w:rFonts w:ascii="宋体" w:hAnsi="宋体"/>
          <w:bCs/>
          <w:color w:val="000000" w:themeColor="text1"/>
          <w:sz w:val="32"/>
          <w:szCs w:val="32"/>
          <w:highlight w:val="none"/>
          <w14:textFill>
            <w14:solidFill>
              <w14:schemeClr w14:val="tx1"/>
            </w14:solidFill>
          </w14:textFill>
        </w:rPr>
        <mc:AlternateContent>
          <mc:Choice Requires="wps">
            <w:drawing>
              <wp:anchor distT="0" distB="0" distL="114300" distR="114300" simplePos="0" relativeHeight="251661312" behindDoc="0" locked="1" layoutInCell="1" allowOverlap="1">
                <wp:simplePos x="0" y="0"/>
                <wp:positionH relativeFrom="margin">
                  <wp:posOffset>-243205</wp:posOffset>
                </wp:positionH>
                <wp:positionV relativeFrom="margin">
                  <wp:posOffset>847090</wp:posOffset>
                </wp:positionV>
                <wp:extent cx="6120130" cy="539750"/>
                <wp:effectExtent l="0" t="0" r="1270" b="6350"/>
                <wp:wrapNone/>
                <wp:docPr id="10" name="fmFrame3"/>
                <wp:cNvGraphicFramePr/>
                <a:graphic xmlns:a="http://schemas.openxmlformats.org/drawingml/2006/main">
                  <a:graphicData uri="http://schemas.microsoft.com/office/word/2010/wordprocessingShape">
                    <wps:wsp>
                      <wps:cNvSpPr txBox="1">
                        <a:spLocks noChangeArrowheads="1"/>
                      </wps:cNvSpPr>
                      <wps:spPr bwMode="auto">
                        <a:xfrm>
                          <a:off x="0" y="0"/>
                          <a:ext cx="6120130" cy="539750"/>
                        </a:xfrm>
                        <a:prstGeom prst="rect">
                          <a:avLst/>
                        </a:prstGeom>
                        <a:solidFill>
                          <a:srgbClr val="FFFFFF"/>
                        </a:solidFill>
                        <a:ln>
                          <a:noFill/>
                        </a:ln>
                      </wps:spPr>
                      <wps:txbx>
                        <w:txbxContent>
                          <w:p w14:paraId="578BB8DF">
                            <w:pPr>
                              <w:pStyle w:val="19"/>
                              <w:spacing w:before="156" w:after="156"/>
                              <w:rPr>
                                <w:rFonts w:hint="default" w:ascii="黑体" w:hAnsi="黑体" w:eastAsia="黑体"/>
                                <w:highlight w:val="none"/>
                                <w:lang w:val="en-US" w:eastAsia="zh-CN"/>
                              </w:rPr>
                            </w:pPr>
                            <w:r>
                              <w:rPr>
                                <w:rFonts w:ascii="黑体" w:hAnsi="黑体" w:eastAsia="黑体"/>
                                <w:highlight w:val="none"/>
                              </w:rPr>
                              <w:t>T</w:t>
                            </w:r>
                            <w:r>
                              <w:rPr>
                                <w:rFonts w:hint="eastAsia" w:ascii="黑体" w:hAnsi="黑体" w:eastAsia="黑体"/>
                                <w:highlight w:val="none"/>
                              </w:rPr>
                              <w:t>/ZGXCFZXH</w:t>
                            </w:r>
                            <w:r>
                              <w:rPr>
                                <w:rFonts w:ascii="黑体" w:hAnsi="黑体" w:eastAsia="黑体"/>
                                <w:highlight w:val="none"/>
                              </w:rPr>
                              <w:t xml:space="preserve"> </w:t>
                            </w:r>
                            <w:r>
                              <w:rPr>
                                <w:rFonts w:hint="eastAsia" w:ascii="黑体" w:hAnsi="黑体" w:eastAsia="黑体"/>
                                <w:highlight w:val="none"/>
                                <w:lang w:val="en-US" w:eastAsia="zh-CN"/>
                              </w:rPr>
                              <w:t>0001.6-2024</w:t>
                            </w:r>
                          </w:p>
                          <w:p w14:paraId="28830A0C">
                            <w:pPr>
                              <w:pStyle w:val="19"/>
                              <w:rPr>
                                <w:rFonts w:ascii="黑体" w:hAnsi="黑体" w:eastAsia="黑体"/>
                                <w:highlight w:val="none"/>
                              </w:rPr>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19.15pt;margin-top:66.7pt;height:42.5pt;width:481.9pt;mso-position-horizontal-relative:margin;mso-position-vertical-relative:margin;z-index:251661312;mso-width-relative:page;mso-height-relative:page;" fillcolor="#FFFFFF" filled="t" stroked="f" coordsize="21600,21600" o:gfxdata="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r7ei72wAAAAsBAAAPAAAAAAAA&#10;AAEAIAAAACIAAABkcnMvZG93bnJldi54bWxQSwECFAAUAAAACACHTuJAlgHYDg8CAAAsBAAADgAA&#10;AAAAAAABACAAAAAqAQAAZHJzL2Uyb0RvYy54bWxQSwUGAAAAAAYABgBZAQAAqwUAAAAA&#10;">
                <v:fill on="t" focussize="0,0"/>
                <v:stroke on="f"/>
                <v:imagedata o:title=""/>
                <o:lock v:ext="edit" aspectratio="f"/>
                <v:textbox inset="0mm,0mm,0mm,0mm">
                  <w:txbxContent>
                    <w:p w14:paraId="578BB8DF">
                      <w:pPr>
                        <w:pStyle w:val="19"/>
                        <w:spacing w:before="156" w:after="156"/>
                        <w:rPr>
                          <w:rFonts w:hint="default" w:ascii="黑体" w:hAnsi="黑体" w:eastAsia="黑体"/>
                          <w:highlight w:val="none"/>
                          <w:lang w:val="en-US" w:eastAsia="zh-CN"/>
                        </w:rPr>
                      </w:pPr>
                      <w:r>
                        <w:rPr>
                          <w:rFonts w:ascii="黑体" w:hAnsi="黑体" w:eastAsia="黑体"/>
                          <w:highlight w:val="none"/>
                        </w:rPr>
                        <w:t>T</w:t>
                      </w:r>
                      <w:r>
                        <w:rPr>
                          <w:rFonts w:hint="eastAsia" w:ascii="黑体" w:hAnsi="黑体" w:eastAsia="黑体"/>
                          <w:highlight w:val="none"/>
                        </w:rPr>
                        <w:t>/ZGXCFZXH</w:t>
                      </w:r>
                      <w:r>
                        <w:rPr>
                          <w:rFonts w:ascii="黑体" w:hAnsi="黑体" w:eastAsia="黑体"/>
                          <w:highlight w:val="none"/>
                        </w:rPr>
                        <w:t xml:space="preserve"> </w:t>
                      </w:r>
                      <w:r>
                        <w:rPr>
                          <w:rFonts w:hint="eastAsia" w:ascii="黑体" w:hAnsi="黑体" w:eastAsia="黑体"/>
                          <w:highlight w:val="none"/>
                          <w:lang w:val="en-US" w:eastAsia="zh-CN"/>
                        </w:rPr>
                        <w:t>0001.6-2024</w:t>
                      </w:r>
                    </w:p>
                    <w:p w14:paraId="28830A0C">
                      <w:pPr>
                        <w:pStyle w:val="19"/>
                        <w:rPr>
                          <w:rFonts w:ascii="黑体" w:hAnsi="黑体" w:eastAsia="黑体"/>
                          <w:highlight w:val="none"/>
                        </w:rPr>
                      </w:pPr>
                    </w:p>
                  </w:txbxContent>
                </v:textbox>
                <w10:anchorlock/>
              </v:shape>
            </w:pict>
          </mc:Fallback>
        </mc:AlternateContent>
      </w:r>
    </w:p>
    <w:p w14:paraId="55B33A94">
      <w:pPr>
        <w:keepNext w:val="0"/>
        <w:keepLines w:val="0"/>
        <w:pageBreakBefore w:val="0"/>
        <w:widowControl w:val="0"/>
        <w:kinsoku/>
        <w:wordWrap/>
        <w:overflowPunct/>
        <w:topLinePunct w:val="0"/>
        <w:autoSpaceDE/>
        <w:autoSpaceDN/>
        <w:bidi w:val="0"/>
        <w:adjustRightInd/>
        <w:snapToGrid/>
        <w:spacing w:before="2268" w:after="567" w:line="240" w:lineRule="auto"/>
        <w:jc w:val="center"/>
        <w:textAlignment w:val="auto"/>
        <w:rPr>
          <w:rFonts w:hint="eastAsia" w:ascii="黑体" w:hAnsi="黑体" w:eastAsia="黑体"/>
          <w:bCs/>
          <w:color w:val="000000" w:themeColor="text1"/>
          <w:sz w:val="52"/>
          <w:szCs w:val="52"/>
          <w:highlight w:val="none"/>
          <w:lang w:val="en-US" w:eastAsia="zh-CN"/>
          <w14:textFill>
            <w14:solidFill>
              <w14:schemeClr w14:val="tx1"/>
            </w14:solidFill>
          </w14:textFill>
        </w:rPr>
      </w:pPr>
      <w:r>
        <w:rPr>
          <w:rFonts w:hint="eastAsia" w:ascii="黑体" w:hAnsi="黑体" w:eastAsia="黑体"/>
          <w:bCs/>
          <w:color w:val="000000" w:themeColor="text1"/>
          <w:sz w:val="52"/>
          <w:szCs w:val="52"/>
          <w:highlight w:val="none"/>
          <w:lang w:val="en-US" w:eastAsia="zh-CN"/>
          <w14:textFill>
            <w14:solidFill>
              <w14:schemeClr w14:val="tx1"/>
            </w14:solidFill>
          </w14:textFill>
        </w:rPr>
        <w:t>道地</w:t>
      </w:r>
      <w:r>
        <w:rPr>
          <w:rFonts w:hint="eastAsia" w:ascii="黑体" w:hAnsi="黑体" w:eastAsia="黑体"/>
          <w:bCs/>
          <w:color w:val="000000" w:themeColor="text1"/>
          <w:sz w:val="52"/>
          <w:szCs w:val="52"/>
          <w:highlight w:val="none"/>
          <w14:textFill>
            <w14:solidFill>
              <w14:schemeClr w14:val="tx1"/>
            </w14:solidFill>
          </w14:textFill>
        </w:rPr>
        <w:t>药材集采交易</w:t>
      </w:r>
      <w:r>
        <w:rPr>
          <w:rFonts w:ascii="宋体" w:hAnsi="宋体"/>
          <w:bCs/>
          <w:color w:val="000000"/>
          <w:sz w:val="36"/>
          <w:szCs w:val="36"/>
        </w:rPr>
        <mc:AlternateContent>
          <mc:Choice Requires="wps">
            <w:drawing>
              <wp:anchor distT="0" distB="0" distL="114300" distR="114300" simplePos="0" relativeHeight="251668480" behindDoc="0" locked="0" layoutInCell="1" allowOverlap="1">
                <wp:simplePos x="0" y="0"/>
                <wp:positionH relativeFrom="column">
                  <wp:posOffset>-179705</wp:posOffset>
                </wp:positionH>
                <wp:positionV relativeFrom="paragraph">
                  <wp:posOffset>7012305</wp:posOffset>
                </wp:positionV>
                <wp:extent cx="6120130" cy="0"/>
                <wp:effectExtent l="0" t="4445" r="0" b="5080"/>
                <wp:wrapNone/>
                <wp:docPr id="6" name="AutoShape 14"/>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000000"/>
                          </a:solidFill>
                          <a:round/>
                        </a:ln>
                      </wps:spPr>
                      <wps:bodyPr/>
                    </wps:wsp>
                  </a:graphicData>
                </a:graphic>
              </wp:anchor>
            </w:drawing>
          </mc:Choice>
          <mc:Fallback>
            <w:pict>
              <v:shape id="AutoShape 14" o:spid="_x0000_s1026" o:spt="32" type="#_x0000_t32" style="position:absolute;left:0pt;margin-left:-14.15pt;margin-top:552.15pt;height:0pt;width:481.9pt;z-index:251668480;mso-width-relative:page;mso-height-relative:page;" filled="f" stroked="t" coordsize="21600,21600" o:gfxdata="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K7sZfbYAAAADQEAAA8AAAAAAAAAAQAg&#10;AAAAIgAAAGRycy9kb3ducmV2LnhtbFBLAQIUABQAAAAIAIdO4kAEyikJ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eastAsia="黑体"/>
          <w:bCs/>
          <w:color w:val="000000" w:themeColor="text1"/>
          <w:sz w:val="52"/>
          <w:szCs w:val="52"/>
          <w:highlight w:val="none"/>
          <w14:textFill>
            <w14:solidFill>
              <w14:schemeClr w14:val="tx1"/>
            </w14:solidFill>
          </w14:textFill>
        </w:rPr>
        <w:t>标准</w:t>
      </w:r>
      <w:r>
        <w:rPr>
          <w:rFonts w:hint="eastAsia" w:ascii="黑体" w:hAnsi="黑体" w:eastAsia="黑体"/>
          <w:bCs/>
          <w:color w:val="000000" w:themeColor="text1"/>
          <w:sz w:val="52"/>
          <w:szCs w:val="52"/>
          <w:highlight w:val="none"/>
          <w:lang w:val="en-US" w:eastAsia="zh-CN"/>
          <w14:textFill>
            <w14:solidFill>
              <w14:schemeClr w14:val="tx1"/>
            </w14:solidFill>
          </w14:textFill>
        </w:rPr>
        <w:t xml:space="preserve"> 陈皮</w:t>
      </w:r>
    </w:p>
    <w:p w14:paraId="1BE5890F">
      <w:pPr>
        <w:keepNext w:val="0"/>
        <w:keepLines w:val="0"/>
        <w:pageBreakBefore w:val="0"/>
        <w:kinsoku/>
        <w:wordWrap/>
        <w:overflowPunct/>
        <w:topLinePunct w:val="0"/>
        <w:bidi w:val="0"/>
        <w:adjustRightInd/>
        <w:snapToGrid/>
        <w:spacing w:before="157" w:beforeLines="50" w:after="157" w:afterLines="50" w:line="240" w:lineRule="auto"/>
        <w:jc w:val="center"/>
        <w:rPr>
          <w:rFonts w:hint="default" w:ascii="黑体" w:hAnsi="黑体" w:eastAsia="黑体"/>
          <w:b w:val="0"/>
          <w:bCs w:val="0"/>
          <w:color w:val="000000" w:themeColor="text1"/>
          <w:sz w:val="52"/>
          <w:szCs w:val="52"/>
          <w:highlight w:val="none"/>
          <w:lang w:val="en-US" w:eastAsia="zh-CN"/>
          <w14:textFill>
            <w14:solidFill>
              <w14:schemeClr w14:val="tx1"/>
            </w14:solidFill>
          </w14:textFill>
        </w:rPr>
      </w:pPr>
      <w:r>
        <w:rPr>
          <w:rFonts w:hint="eastAsia" w:ascii="黑体" w:hAnsi="黑体" w:eastAsia="黑体" w:cs="黑体"/>
          <w:b w:val="0"/>
          <w:bCs w:val="0"/>
          <w:color w:val="000000" w:themeColor="text1"/>
          <w:kern w:val="0"/>
          <w:sz w:val="28"/>
          <w:szCs w:val="28"/>
          <w:highlight w:val="none"/>
          <w:lang w:val="en-US" w:eastAsia="zh-CN" w:bidi="ar"/>
          <w14:textFill>
            <w14:solidFill>
              <w14:schemeClr w14:val="tx1"/>
            </w14:solidFill>
          </w14:textFill>
        </w:rPr>
        <w:t xml:space="preserve">Centralized procurement standard for </w:t>
      </w:r>
      <w:r>
        <w:rPr>
          <w:rFonts w:hint="eastAsia" w:ascii="黑体" w:hAnsi="黑体" w:eastAsia="黑体" w:cs="黑体"/>
          <w:bCs/>
          <w:color w:val="000000"/>
          <w:sz w:val="28"/>
          <w:szCs w:val="28"/>
          <w:lang w:val="en-US" w:eastAsia="zh-CN"/>
        </w:rPr>
        <w:t>genuine regional</w:t>
      </w:r>
      <w:r>
        <w:rPr>
          <w:rFonts w:hint="eastAsia" w:ascii="黑体" w:hAnsi="黑体" w:eastAsia="黑体" w:cs="黑体"/>
          <w:bCs/>
          <w:color w:val="000000"/>
          <w:sz w:val="28"/>
          <w:szCs w:val="28"/>
        </w:rPr>
        <w:t xml:space="preserve"> materia medica</w:t>
      </w:r>
    </w:p>
    <w:p w14:paraId="6F04C23F">
      <w:pPr>
        <w:keepNext w:val="0"/>
        <w:keepLines w:val="0"/>
        <w:pageBreakBefore w:val="0"/>
        <w:kinsoku/>
        <w:wordWrap/>
        <w:overflowPunct/>
        <w:topLinePunct w:val="0"/>
        <w:bidi w:val="0"/>
        <w:adjustRightInd/>
        <w:snapToGrid/>
        <w:spacing w:before="157" w:beforeLines="50" w:after="157" w:afterLines="50" w:line="240" w:lineRule="auto"/>
        <w:jc w:val="center"/>
        <w:rPr>
          <w:rFonts w:hint="eastAsia" w:ascii="黑体" w:hAnsi="黑体" w:eastAsia="黑体" w:cs="黑体"/>
          <w:b/>
          <w:bCs/>
          <w:color w:val="000000" w:themeColor="text1"/>
          <w:kern w:val="0"/>
          <w:sz w:val="28"/>
          <w:szCs w:val="28"/>
          <w:highlight w:val="none"/>
          <w:lang w:val="en-US" w:eastAsia="zh-CN" w:bidi="ar"/>
          <w14:textFill>
            <w14:solidFill>
              <w14:schemeClr w14:val="tx1"/>
            </w14:solidFill>
          </w14:textFill>
        </w:rPr>
      </w:pPr>
      <w:r>
        <w:rPr>
          <w:rFonts w:hint="eastAsia" w:ascii="黑体" w:hAnsi="黑体" w:eastAsia="黑体" w:cs="黑体"/>
          <w:b w:val="0"/>
          <w:bCs w:val="0"/>
          <w:color w:val="000000" w:themeColor="text1"/>
          <w:kern w:val="0"/>
          <w:sz w:val="28"/>
          <w:szCs w:val="28"/>
          <w:highlight w:val="none"/>
          <w:lang w:val="en-US" w:eastAsia="zh-CN" w:bidi="ar"/>
          <w14:textFill>
            <w14:solidFill>
              <w14:schemeClr w14:val="tx1"/>
            </w14:solidFill>
          </w14:textFill>
        </w:rPr>
        <w:t>CITRI RETICULATAE PERIC</w:t>
      </w:r>
      <w:r>
        <w:rPr>
          <w:rFonts w:ascii="Times New Roman" w:hAnsi="Times New Roman"/>
          <w:bCs/>
          <w:color w:val="000000" w:themeColor="text1"/>
          <w:sz w:val="32"/>
          <w:szCs w:val="32"/>
          <w14:textFill>
            <w14:solidFill>
              <w14:schemeClr w14:val="tx1"/>
            </w14:solidFill>
          </w14:textFill>
        </w:rPr>
        <mc:AlternateContent>
          <mc:Choice Requires="wps">
            <w:drawing>
              <wp:anchor distT="0" distB="0" distL="114300" distR="114300" simplePos="0" relativeHeight="251666432" behindDoc="0" locked="0" layoutInCell="1" allowOverlap="1">
                <wp:simplePos x="0" y="0"/>
                <wp:positionH relativeFrom="column">
                  <wp:posOffset>-179705</wp:posOffset>
                </wp:positionH>
                <wp:positionV relativeFrom="paragraph">
                  <wp:posOffset>-2849245</wp:posOffset>
                </wp:positionV>
                <wp:extent cx="6120130" cy="0"/>
                <wp:effectExtent l="0" t="4445" r="0" b="5080"/>
                <wp:wrapNone/>
                <wp:docPr id="12" name="AutoShape 6"/>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000000"/>
                          </a:solidFill>
                          <a:round/>
                        </a:ln>
                      </wps:spPr>
                      <wps:bodyPr/>
                    </wps:wsp>
                  </a:graphicData>
                </a:graphic>
              </wp:anchor>
            </w:drawing>
          </mc:Choice>
          <mc:Fallback>
            <w:pict>
              <v:shape id="AutoShape 6" o:spid="_x0000_s1026" o:spt="32" type="#_x0000_t32" style="position:absolute;left:0pt;margin-left:-14.15pt;margin-top:-224.35pt;height:0pt;width:481.9pt;z-index:251666432;mso-width-relative:page;mso-height-relative:page;" filled="f" stroked="t" coordsize="21600,21600" o:gfxdata="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oQEOrZAAAADQEAAA8AAAAAAAAAAQAg&#10;AAAAIgAAAGRycy9kb3ducmV2LnhtbFBLAQIUABQAAAAIAIdO4kBfdjn91AEAALMDAAAOAAAAAAAA&#10;AAEAIAAAACgBAABkcnMvZTJvRG9jLnhtbFBLBQYAAAAABgAGAFkBAABuBQAAAAA=&#10;">
                <v:fill on="f" focussize="0,0"/>
                <v:stroke color="#000000" joinstyle="round"/>
                <v:imagedata o:title=""/>
                <o:lock v:ext="edit" aspectratio="f"/>
              </v:shape>
            </w:pict>
          </mc:Fallback>
        </mc:AlternateContent>
      </w:r>
      <w:r>
        <w:rPr>
          <w:rFonts w:ascii="Times New Roman" w:hAnsi="Times New Roman"/>
          <w:bCs/>
          <w:color w:val="000000" w:themeColor="text1"/>
          <w:sz w:val="36"/>
          <w:szCs w:val="36"/>
          <w14:textFill>
            <w14:solidFill>
              <w14:schemeClr w14:val="tx1"/>
            </w14:solidFill>
          </w14:textFill>
        </w:rPr>
        <mc:AlternateContent>
          <mc:Choice Requires="wps">
            <w:drawing>
              <wp:anchor distT="0" distB="0" distL="114300" distR="114300" simplePos="0" relativeHeight="251667456" behindDoc="0" locked="1" layoutInCell="1" allowOverlap="1">
                <wp:simplePos x="0" y="0"/>
                <wp:positionH relativeFrom="margin">
                  <wp:posOffset>3929380</wp:posOffset>
                </wp:positionH>
                <wp:positionV relativeFrom="margin">
                  <wp:posOffset>8019415</wp:posOffset>
                </wp:positionV>
                <wp:extent cx="2019300" cy="312420"/>
                <wp:effectExtent l="0" t="0" r="0" b="5080"/>
                <wp:wrapNone/>
                <wp:docPr id="15"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0A483FBC">
                            <w:pPr>
                              <w:pStyle w:val="14"/>
                              <w:jc w:val="right"/>
                              <w:rPr>
                                <w:rFonts w:ascii="黑体" w:hAnsi="黑体"/>
                              </w:rPr>
                            </w:pPr>
                            <w:r>
                              <w:rPr>
                                <w:rFonts w:hint="eastAsia" w:ascii="黑体" w:hAnsi="黑体" w:cs="黑体"/>
                              </w:rPr>
                              <w:t>2024</w:t>
                            </w:r>
                            <w:r>
                              <w:rPr>
                                <w:rFonts w:ascii="黑体" w:hAnsi="黑体"/>
                              </w:rPr>
                              <w:t>-</w:t>
                            </w:r>
                            <w:r>
                              <w:rPr>
                                <w:rFonts w:hint="eastAsia" w:ascii="黑体" w:hAnsi="黑体" w:cs="黑体"/>
                              </w:rPr>
                              <w:t>××</w:t>
                            </w:r>
                            <w:r>
                              <w:rPr>
                                <w:rFonts w:ascii="黑体" w:hAnsi="黑体"/>
                              </w:rPr>
                              <w:t>-</w:t>
                            </w:r>
                            <w:r>
                              <w:rPr>
                                <w:rFonts w:hint="eastAsia" w:ascii="黑体" w:hAnsi="黑体" w:cs="黑体"/>
                              </w:rPr>
                              <w:t>××实施</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309.4pt;margin-top:631.45pt;height:24.6pt;width:159pt;mso-position-horizontal-relative:margin;mso-position-vertical-relative:margin;z-index:251667456;mso-width-relative:page;mso-height-relative:page;" fillcolor="#FFFFFF" filled="t" stroked="f" coordsize="21600,21600" o:gfxdata="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ug/MNoAAAANAQAADwAAAAAAAAAB&#10;ACAAAAAiAAAAZHJzL2Rvd25yZXYueG1sUEsBAhQAFAAAAAgAh07iQHD/g4IOAgAALAQAAA4AAAAA&#10;AAAAAQAgAAAAKQEAAGRycy9lMm9Eb2MueG1sUEsFBgAAAAAGAAYAWQEAAKkFAAAAAA==&#10;">
                <v:fill on="t" focussize="0,0"/>
                <v:stroke on="f"/>
                <v:imagedata o:title=""/>
                <o:lock v:ext="edit" aspectratio="f"/>
                <v:textbox inset="0mm,0mm,0mm,0mm">
                  <w:txbxContent>
                    <w:p w14:paraId="0A483FBC">
                      <w:pPr>
                        <w:pStyle w:val="14"/>
                        <w:jc w:val="right"/>
                        <w:rPr>
                          <w:rFonts w:ascii="黑体" w:hAnsi="黑体"/>
                        </w:rPr>
                      </w:pPr>
                      <w:r>
                        <w:rPr>
                          <w:rFonts w:hint="eastAsia" w:ascii="黑体" w:hAnsi="黑体" w:cs="黑体"/>
                        </w:rPr>
                        <w:t>2024</w:t>
                      </w:r>
                      <w:r>
                        <w:rPr>
                          <w:rFonts w:ascii="黑体" w:hAnsi="黑体"/>
                        </w:rPr>
                        <w:t>-</w:t>
                      </w:r>
                      <w:r>
                        <w:rPr>
                          <w:rFonts w:hint="eastAsia" w:ascii="黑体" w:hAnsi="黑体" w:cs="黑体"/>
                        </w:rPr>
                        <w:t>××</w:t>
                      </w:r>
                      <w:r>
                        <w:rPr>
                          <w:rFonts w:ascii="黑体" w:hAnsi="黑体"/>
                        </w:rPr>
                        <w:t>-</w:t>
                      </w:r>
                      <w:r>
                        <w:rPr>
                          <w:rFonts w:hint="eastAsia" w:ascii="黑体" w:hAnsi="黑体" w:cs="黑体"/>
                        </w:rPr>
                        <w:t>××实施</w:t>
                      </w:r>
                    </w:p>
                  </w:txbxContent>
                </v:textbox>
                <w10:anchorlock/>
              </v:shape>
            </w:pict>
          </mc:Fallback>
        </mc:AlternateContent>
      </w:r>
      <w:r>
        <w:rPr>
          <w:rFonts w:hint="eastAsia" w:ascii="黑体" w:hAnsi="黑体" w:eastAsia="黑体" w:cs="黑体"/>
          <w:b w:val="0"/>
          <w:bCs w:val="0"/>
          <w:color w:val="000000" w:themeColor="text1"/>
          <w:kern w:val="0"/>
          <w:sz w:val="28"/>
          <w:szCs w:val="28"/>
          <w:highlight w:val="none"/>
          <w:lang w:val="en-US" w:eastAsia="zh-CN" w:bidi="ar"/>
          <w14:textFill>
            <w14:solidFill>
              <w14:schemeClr w14:val="tx1"/>
            </w14:solidFill>
          </w14:textFill>
        </w:rPr>
        <w:t>ARPIUM</w:t>
      </w:r>
      <w:r>
        <w:rPr>
          <w:rFonts w:hint="eastAsia" w:ascii="黑体" w:hAnsi="黑体" w:eastAsia="黑体" w:cs="黑体"/>
          <w:b/>
          <w:bCs/>
          <w:color w:val="000000" w:themeColor="text1"/>
          <w:kern w:val="0"/>
          <w:sz w:val="28"/>
          <w:szCs w:val="28"/>
          <w:highlight w:val="none"/>
          <w:lang w:val="en-US" w:eastAsia="zh-CN" w:bidi="ar"/>
          <w14:textFill>
            <w14:solidFill>
              <w14:schemeClr w14:val="tx1"/>
            </w14:solidFill>
          </w14:textFill>
        </w:rPr>
        <w:t xml:space="preserve"> </w:t>
      </w:r>
    </w:p>
    <w:p w14:paraId="369B1309">
      <w:pPr>
        <w:spacing w:before="312" w:beforeLines="100" w:after="312" w:afterLines="100"/>
        <w:jc w:val="center"/>
        <w:rPr>
          <w:rFonts w:hint="eastAsia" w:ascii="黑体" w:hAnsi="黑体" w:eastAsia="黑体" w:cs="黑体"/>
          <w:bCs/>
          <w:color w:val="000000"/>
          <w:sz w:val="28"/>
          <w:szCs w:val="28"/>
          <w:lang w:eastAsia="zh-CN"/>
        </w:rPr>
      </w:pPr>
      <w:r>
        <w:rPr>
          <w:rFonts w:hint="eastAsia" w:ascii="黑体" w:hAnsi="黑体" w:eastAsia="黑体" w:cs="黑体"/>
          <w:bCs/>
          <w:color w:val="000000"/>
          <w:sz w:val="28"/>
          <w:szCs w:val="28"/>
          <w:lang w:eastAsia="zh-CN"/>
        </w:rPr>
        <w:t>（</w:t>
      </w:r>
      <w:r>
        <w:rPr>
          <w:rFonts w:hint="eastAsia" w:ascii="黑体" w:hAnsi="黑体" w:eastAsia="黑体" w:cs="黑体"/>
          <w:bCs/>
          <w:color w:val="000000"/>
          <w:sz w:val="28"/>
          <w:szCs w:val="28"/>
          <w:lang w:val="en-US" w:eastAsia="zh-CN"/>
        </w:rPr>
        <w:t>征求意见稿</w:t>
      </w:r>
      <w:r>
        <w:rPr>
          <w:rFonts w:hint="eastAsia" w:ascii="黑体" w:hAnsi="黑体" w:eastAsia="黑体" w:cs="黑体"/>
          <w:bCs/>
          <w:color w:val="000000"/>
          <w:sz w:val="28"/>
          <w:szCs w:val="28"/>
          <w:lang w:eastAsia="zh-CN"/>
        </w:rPr>
        <w:t>）</w:t>
      </w:r>
    </w:p>
    <w:p w14:paraId="7ECA8C62">
      <w:pPr>
        <w:keepNext w:val="0"/>
        <w:keepLines w:val="0"/>
        <w:pageBreakBefore w:val="0"/>
        <w:kinsoku/>
        <w:wordWrap/>
        <w:overflowPunct/>
        <w:topLinePunct w:val="0"/>
        <w:bidi w:val="0"/>
        <w:adjustRightInd/>
        <w:snapToGrid/>
        <w:spacing w:before="157" w:beforeLines="50" w:after="157" w:afterLines="50" w:line="240" w:lineRule="auto"/>
        <w:jc w:val="center"/>
        <w:rPr>
          <w:rFonts w:ascii="宋体" w:hAnsi="宋体"/>
          <w:bCs/>
          <w:color w:val="000000" w:themeColor="text1"/>
          <w:sz w:val="24"/>
          <w:highlight w:val="none"/>
          <w14:textFill>
            <w14:solidFill>
              <w14:schemeClr w14:val="tx1"/>
            </w14:solidFill>
          </w14:textFill>
        </w:rPr>
      </w:pPr>
      <w:bookmarkStart w:id="30" w:name="_GoBack"/>
      <w:bookmarkEnd w:id="30"/>
    </w:p>
    <w:p w14:paraId="0E3812C2">
      <w:pPr>
        <w:keepNext w:val="0"/>
        <w:keepLines w:val="0"/>
        <w:pageBreakBefore w:val="0"/>
        <w:kinsoku/>
        <w:wordWrap/>
        <w:overflowPunct/>
        <w:topLinePunct w:val="0"/>
        <w:bidi w:val="0"/>
        <w:adjustRightInd/>
        <w:snapToGrid/>
        <w:spacing w:before="157" w:beforeLines="50" w:after="157" w:afterLines="50" w:line="240" w:lineRule="auto"/>
        <w:rPr>
          <w:rFonts w:ascii="Times New Roman" w:hAnsi="Times New Roman"/>
          <w:color w:val="000000" w:themeColor="text1"/>
          <w:szCs w:val="21"/>
          <w:highlight w:val="none"/>
          <w14:textFill>
            <w14:solidFill>
              <w14:schemeClr w14:val="tx1"/>
            </w14:solidFill>
          </w14:textFill>
        </w:rPr>
        <w:sectPr>
          <w:headerReference r:id="rId5" w:type="first"/>
          <w:headerReference r:id="rId3" w:type="default"/>
          <w:footerReference r:id="rId6" w:type="default"/>
          <w:headerReference r:id="rId4" w:type="even"/>
          <w:footerReference r:id="rId7" w:type="even"/>
          <w:pgSz w:w="11906" w:h="16838"/>
          <w:pgMar w:top="1417" w:right="1134" w:bottom="1134" w:left="1417" w:header="850" w:footer="992" w:gutter="0"/>
          <w:pgNumType w:start="1"/>
          <w:cols w:space="0" w:num="1"/>
          <w:titlePg/>
          <w:docGrid w:type="lines" w:linePitch="312" w:charSpace="0"/>
        </w:sectPr>
      </w:pPr>
      <w:r>
        <w:rPr>
          <w:rFonts w:ascii="宋体" w:hAnsi="宋体"/>
          <w:bCs/>
          <w:color w:val="000000" w:themeColor="text1"/>
          <w:sz w:val="36"/>
          <w:szCs w:val="36"/>
          <w:highlight w:val="none"/>
          <w14:textFill>
            <w14:solidFill>
              <w14:schemeClr w14:val="tx1"/>
            </w14:solidFill>
          </w14:textFill>
        </w:rPr>
        <mc:AlternateContent>
          <mc:Choice Requires="wps">
            <w:drawing>
              <wp:anchor distT="0" distB="0" distL="114300" distR="114300" simplePos="0" relativeHeight="251665408" behindDoc="0" locked="1" layoutInCell="1" allowOverlap="1">
                <wp:simplePos x="0" y="0"/>
                <wp:positionH relativeFrom="margin">
                  <wp:posOffset>23495</wp:posOffset>
                </wp:positionH>
                <wp:positionV relativeFrom="margin">
                  <wp:posOffset>8399145</wp:posOffset>
                </wp:positionV>
                <wp:extent cx="5535930" cy="927735"/>
                <wp:effectExtent l="0" t="0" r="11430" b="1905"/>
                <wp:wrapNone/>
                <wp:docPr id="8" name="fmFrame7" descr="文本框: 中华人民共和国国家质量监督检验检疫总局"/>
                <wp:cNvGraphicFramePr/>
                <a:graphic xmlns:a="http://schemas.openxmlformats.org/drawingml/2006/main">
                  <a:graphicData uri="http://schemas.microsoft.com/office/word/2010/wordprocessingShape">
                    <wps:wsp>
                      <wps:cNvSpPr txBox="1">
                        <a:spLocks noChangeArrowheads="1"/>
                      </wps:cNvSpPr>
                      <wps:spPr bwMode="auto">
                        <a:xfrm>
                          <a:off x="0" y="0"/>
                          <a:ext cx="5535930" cy="927735"/>
                        </a:xfrm>
                        <a:prstGeom prst="rect">
                          <a:avLst/>
                        </a:prstGeom>
                        <a:solidFill>
                          <a:srgbClr val="FFFFFF"/>
                        </a:solidFill>
                        <a:ln>
                          <a:noFill/>
                        </a:ln>
                      </wps:spPr>
                      <wps:txbx>
                        <w:txbxContent>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6"/>
                              <w:gridCol w:w="1276"/>
                            </w:tblGrid>
                            <w:tr w14:paraId="5262F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7196" w:type="dxa"/>
                                  <w:tcBorders>
                                    <w:top w:val="nil"/>
                                    <w:left w:val="nil"/>
                                    <w:bottom w:val="nil"/>
                                    <w:right w:val="nil"/>
                                  </w:tcBorders>
                                  <w:vAlign w:val="center"/>
                                </w:tcPr>
                                <w:p w14:paraId="52DD11E5">
                                  <w:pPr>
                                    <w:pStyle w:val="20"/>
                                    <w:rPr>
                                      <w:rFonts w:hint="eastAsia" w:ascii="黑体" w:hAnsi="黑体" w:eastAsia="黑体"/>
                                      <w:b w:val="0"/>
                                      <w:szCs w:val="28"/>
                                      <w:lang w:eastAsia="zh-CN"/>
                                    </w:rPr>
                                  </w:pPr>
                                  <w:r>
                                    <w:rPr>
                                      <w:rFonts w:hint="eastAsia" w:ascii="黑体" w:hAnsi="黑体" w:eastAsia="黑体"/>
                                      <w:b w:val="0"/>
                                      <w:szCs w:val="28"/>
                                      <w:lang w:val="en-US" w:eastAsia="zh-CN"/>
                                    </w:rPr>
                                    <w:t>中国乡村发展协会</w:t>
                                  </w:r>
                                </w:p>
                              </w:tc>
                              <w:tc>
                                <w:tcPr>
                                  <w:tcW w:w="1276" w:type="dxa"/>
                                  <w:tcBorders>
                                    <w:top w:val="nil"/>
                                    <w:left w:val="nil"/>
                                    <w:bottom w:val="nil"/>
                                    <w:right w:val="nil"/>
                                  </w:tcBorders>
                                  <w:vAlign w:val="center"/>
                                </w:tcPr>
                                <w:p w14:paraId="36C6FAE8">
                                  <w:pPr>
                                    <w:pStyle w:val="20"/>
                                    <w:jc w:val="left"/>
                                    <w:rPr>
                                      <w:rFonts w:ascii="黑体" w:hAnsi="黑体" w:eastAsia="黑体"/>
                                      <w:b w:val="0"/>
                                      <w:szCs w:val="28"/>
                                    </w:rPr>
                                  </w:pPr>
                                  <w:r>
                                    <w:rPr>
                                      <w:rFonts w:hint="eastAsia" w:ascii="黑体" w:hAnsi="黑体" w:eastAsia="黑体"/>
                                      <w:b w:val="0"/>
                                      <w:szCs w:val="28"/>
                                    </w:rPr>
                                    <w:t>发布</w:t>
                                  </w:r>
                                </w:p>
                              </w:tc>
                            </w:tr>
                          </w:tbl>
                          <w:p w14:paraId="19B23165">
                            <w:pPr>
                              <w:jc w:val="left"/>
                              <w:rPr>
                                <w:sz w:val="20"/>
                                <w:szCs w:val="20"/>
                              </w:rPr>
                            </w:pPr>
                          </w:p>
                        </w:txbxContent>
                      </wps:txbx>
                      <wps:bodyPr rot="0" vert="horz" wrap="square" lIns="0" tIns="0" rIns="0" bIns="0" anchor="t" anchorCtr="0" upright="1">
                        <a:noAutofit/>
                      </wps:bodyPr>
                    </wps:wsp>
                  </a:graphicData>
                </a:graphic>
              </wp:anchor>
            </w:drawing>
          </mc:Choice>
          <mc:Fallback>
            <w:pict>
              <v:shape id="fmFrame7" o:spid="_x0000_s1026" o:spt="202" alt="文本框: 中华人民共和国国家质量监督检验检疫总局" type="#_x0000_t202" style="position:absolute;left:0pt;margin-left:1.85pt;margin-top:661.35pt;height:73.05pt;width:435.9pt;mso-position-horizontal-relative:margin;mso-position-vertical-relative:margin;z-index:251665408;mso-width-relative:page;mso-height-relative:page;" fillcolor="#FFFFFF" filled="t" stroked="f" coordsize="21600,21600" o:gfxdata="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kMs6Y2gAAAAsBAAAPAAAAAAAAAAEAIAAAACIA&#10;AABkcnMvZG93bnJldi54bWxQSwECFAAUAAAACACHTuJAyoOhZnkCAAB4BAAADgAAAAAAAAABACAA&#10;AAApAQAAZHJzL2Uyb0RvYy54bWxQSwUGAAAAAAYABgBZAQAAFAYAAAAA&#10;">
                <v:fill on="t" focussize="0,0"/>
                <v:stroke on="f"/>
                <v:imagedata o:title=""/>
                <o:lock v:ext="edit" aspectratio="f"/>
                <v:textbox inset="0mm,0mm,0mm,0mm">
                  <w:txbxContent>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6"/>
                        <w:gridCol w:w="1276"/>
                      </w:tblGrid>
                      <w:tr w14:paraId="5262F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7196" w:type="dxa"/>
                            <w:tcBorders>
                              <w:top w:val="nil"/>
                              <w:left w:val="nil"/>
                              <w:bottom w:val="nil"/>
                              <w:right w:val="nil"/>
                            </w:tcBorders>
                            <w:vAlign w:val="center"/>
                          </w:tcPr>
                          <w:p w14:paraId="52DD11E5">
                            <w:pPr>
                              <w:pStyle w:val="20"/>
                              <w:rPr>
                                <w:rFonts w:hint="eastAsia" w:ascii="黑体" w:hAnsi="黑体" w:eastAsia="黑体"/>
                                <w:b w:val="0"/>
                                <w:szCs w:val="28"/>
                                <w:lang w:eastAsia="zh-CN"/>
                              </w:rPr>
                            </w:pPr>
                            <w:r>
                              <w:rPr>
                                <w:rFonts w:hint="eastAsia" w:ascii="黑体" w:hAnsi="黑体" w:eastAsia="黑体"/>
                                <w:b w:val="0"/>
                                <w:szCs w:val="28"/>
                                <w:lang w:val="en-US" w:eastAsia="zh-CN"/>
                              </w:rPr>
                              <w:t>中国乡村发展协会</w:t>
                            </w:r>
                          </w:p>
                        </w:tc>
                        <w:tc>
                          <w:tcPr>
                            <w:tcW w:w="1276" w:type="dxa"/>
                            <w:tcBorders>
                              <w:top w:val="nil"/>
                              <w:left w:val="nil"/>
                              <w:bottom w:val="nil"/>
                              <w:right w:val="nil"/>
                            </w:tcBorders>
                            <w:vAlign w:val="center"/>
                          </w:tcPr>
                          <w:p w14:paraId="36C6FAE8">
                            <w:pPr>
                              <w:pStyle w:val="20"/>
                              <w:jc w:val="left"/>
                              <w:rPr>
                                <w:rFonts w:ascii="黑体" w:hAnsi="黑体" w:eastAsia="黑体"/>
                                <w:b w:val="0"/>
                                <w:szCs w:val="28"/>
                              </w:rPr>
                            </w:pPr>
                            <w:r>
                              <w:rPr>
                                <w:rFonts w:hint="eastAsia" w:ascii="黑体" w:hAnsi="黑体" w:eastAsia="黑体"/>
                                <w:b w:val="0"/>
                                <w:szCs w:val="28"/>
                              </w:rPr>
                              <w:t>发布</w:t>
                            </w:r>
                          </w:p>
                        </w:tc>
                      </w:tr>
                    </w:tbl>
                    <w:p w14:paraId="19B23165">
                      <w:pPr>
                        <w:jc w:val="left"/>
                        <w:rPr>
                          <w:sz w:val="20"/>
                          <w:szCs w:val="20"/>
                        </w:rPr>
                      </w:pPr>
                    </w:p>
                  </w:txbxContent>
                </v:textbox>
                <w10:anchorlock/>
              </v:shape>
            </w:pict>
          </mc:Fallback>
        </mc:AlternateContent>
      </w:r>
      <w:r>
        <w:rPr>
          <w:rFonts w:ascii="宋体" w:hAnsi="宋体"/>
          <w:bCs/>
          <w:color w:val="000000" w:themeColor="text1"/>
          <w:sz w:val="36"/>
          <w:szCs w:val="36"/>
          <w:highlight w:val="none"/>
          <w14:textFill>
            <w14:solidFill>
              <w14:schemeClr w14:val="tx1"/>
            </w14:solidFill>
          </w14:textFill>
        </w:rPr>
        <mc:AlternateContent>
          <mc:Choice Requires="wps">
            <w:drawing>
              <wp:anchor distT="0" distB="0" distL="114300" distR="114300" simplePos="0" relativeHeight="251664384" behindDoc="0" locked="1" layoutInCell="1" allowOverlap="1">
                <wp:simplePos x="0" y="0"/>
                <wp:positionH relativeFrom="margin">
                  <wp:posOffset>-177800</wp:posOffset>
                </wp:positionH>
                <wp:positionV relativeFrom="margin">
                  <wp:posOffset>8009255</wp:posOffset>
                </wp:positionV>
                <wp:extent cx="2019300" cy="312420"/>
                <wp:effectExtent l="0" t="0" r="7620" b="7620"/>
                <wp:wrapNone/>
                <wp:docPr id="7"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FD2BE53">
                            <w:pPr>
                              <w:pStyle w:val="14"/>
                              <w:rPr>
                                <w:rFonts w:ascii="黑体" w:hAnsi="黑体"/>
                              </w:rPr>
                            </w:pPr>
                            <w:r>
                              <w:rPr>
                                <w:rFonts w:hint="eastAsia" w:ascii="黑体" w:hAnsi="黑体" w:cs="黑体"/>
                                <w:lang w:eastAsia="zh-CN"/>
                              </w:rPr>
                              <w:t>2024-××-××</w:t>
                            </w:r>
                            <w:r>
                              <w:rPr>
                                <w:rFonts w:hint="eastAsia" w:ascii="黑体" w:hAnsi="黑体" w:cs="黑体"/>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14pt;margin-top:630.65pt;height:24.6pt;width:159pt;mso-position-horizontal-relative:margin;mso-position-vertical-relative:margin;z-index:251664384;mso-width-relative:page;mso-height-relative:page;" fillcolor="#FFFFFF" filled="t" stroked="f" coordsize="21600,21600" o:gfxdata="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xnA+xtoAAAANAQAADwAAAAAAAAAB&#10;ACAAAAAiAAAAZHJzL2Rvd25yZXYueG1sUEsBAhQAFAAAAAgAh07iQHBG+tIOAgAAKwQAAA4AAAAA&#10;AAAAAQAgAAAAKQEAAGRycy9lMm9Eb2MueG1sUEsFBgAAAAAGAAYAWQEAAKkFAAAAAA==&#10;">
                <v:fill on="t" focussize="0,0"/>
                <v:stroke on="f"/>
                <v:imagedata o:title=""/>
                <o:lock v:ext="edit" aspectratio="f"/>
                <v:textbox inset="0mm,0mm,0mm,0mm">
                  <w:txbxContent>
                    <w:p w14:paraId="1FD2BE53">
                      <w:pPr>
                        <w:pStyle w:val="14"/>
                        <w:rPr>
                          <w:rFonts w:ascii="黑体" w:hAnsi="黑体"/>
                        </w:rPr>
                      </w:pPr>
                      <w:r>
                        <w:rPr>
                          <w:rFonts w:hint="eastAsia" w:ascii="黑体" w:hAnsi="黑体" w:cs="黑体"/>
                          <w:lang w:eastAsia="zh-CN"/>
                        </w:rPr>
                        <w:t>2024-××-××</w:t>
                      </w:r>
                      <w:r>
                        <w:rPr>
                          <w:rFonts w:hint="eastAsia" w:ascii="黑体" w:hAnsi="黑体" w:cs="黑体"/>
                        </w:rPr>
                        <w:t>发布</w:t>
                      </w:r>
                    </w:p>
                  </w:txbxContent>
                </v:textbox>
                <w10:anchorlock/>
              </v:shape>
            </w:pict>
          </mc:Fallback>
        </mc:AlternateContent>
      </w:r>
    </w:p>
    <w:p w14:paraId="3C3FD953">
      <w:pPr>
        <w:pStyle w:val="4"/>
        <w:keepNext w:val="0"/>
        <w:keepLines w:val="0"/>
        <w:pageBreakBefore w:val="0"/>
        <w:widowControl w:val="0"/>
        <w:kinsoku/>
        <w:wordWrap/>
        <w:overflowPunct/>
        <w:topLinePunct w:val="0"/>
        <w:autoSpaceDE/>
        <w:autoSpaceDN/>
        <w:bidi w:val="0"/>
        <w:adjustRightInd/>
        <w:snapToGrid/>
        <w:spacing w:before="0" w:beforeLines="100" w:after="0" w:afterLines="100" w:line="240" w:lineRule="auto"/>
        <w:jc w:val="center"/>
        <w:textAlignment w:val="auto"/>
        <w:outlineLvl w:val="0"/>
        <w:rPr>
          <w:rFonts w:ascii="Times New Roman" w:hAnsi="Times New Roman" w:eastAsia="黑体"/>
          <w:bCs/>
          <w:color w:val="000000" w:themeColor="text1"/>
          <w:sz w:val="32"/>
          <w:szCs w:val="32"/>
          <w:highlight w:val="none"/>
          <w14:textFill>
            <w14:solidFill>
              <w14:schemeClr w14:val="tx1"/>
            </w14:solidFill>
          </w14:textFill>
        </w:rPr>
      </w:pPr>
      <w:bookmarkStart w:id="0" w:name="_Toc5094"/>
      <w:bookmarkStart w:id="1" w:name="_Toc11998"/>
      <w:bookmarkStart w:id="2" w:name="_Toc13900"/>
      <w:bookmarkStart w:id="3" w:name="_Toc32599"/>
      <w:bookmarkStart w:id="4" w:name="_Toc23109710"/>
      <w:bookmarkStart w:id="5" w:name="_Toc7349"/>
      <w:bookmarkStart w:id="6" w:name="_Toc840"/>
      <w:bookmarkStart w:id="7" w:name="_Toc31551"/>
      <w:bookmarkStart w:id="8" w:name="_Toc22401"/>
      <w:bookmarkStart w:id="9" w:name="_Toc18223"/>
      <w:bookmarkStart w:id="10" w:name="_Toc19640"/>
      <w:bookmarkStart w:id="11" w:name="_Toc26679"/>
      <w:bookmarkStart w:id="12" w:name="_Toc18100"/>
      <w:bookmarkStart w:id="13" w:name="_Toc29175"/>
      <w:bookmarkStart w:id="14" w:name="_Toc21586"/>
      <w:bookmarkStart w:id="15" w:name="_Toc5123"/>
      <w:bookmarkStart w:id="16" w:name="_Toc30137"/>
      <w:bookmarkStart w:id="17" w:name="_Toc16010"/>
      <w:bookmarkStart w:id="18" w:name="_Toc13472"/>
      <w:bookmarkStart w:id="19" w:name="_Toc26541137"/>
      <w:bookmarkStart w:id="20" w:name="_Toc465701073"/>
      <w:r>
        <w:rPr>
          <w:rFonts w:ascii="Times New Roman" w:hAnsi="Times New Roman" w:eastAsia="黑体"/>
          <w:bCs/>
          <w:color w:val="000000" w:themeColor="text1"/>
          <w:sz w:val="32"/>
          <w:szCs w:val="32"/>
          <w:highlight w:val="none"/>
          <w14:textFill>
            <w14:solidFill>
              <w14:schemeClr w14:val="tx1"/>
            </w14:solidFill>
          </w14:textFill>
        </w:rPr>
        <w:t>前</w:t>
      </w:r>
      <w:r>
        <w:rPr>
          <w:rFonts w:hint="eastAsia" w:ascii="Times New Roman" w:hAnsi="Times New Roman" w:eastAsia="黑体"/>
          <w:bCs/>
          <w:color w:val="000000" w:themeColor="text1"/>
          <w:sz w:val="32"/>
          <w:szCs w:val="32"/>
          <w:highlight w:val="none"/>
          <w14:textFill>
            <w14:solidFill>
              <w14:schemeClr w14:val="tx1"/>
            </w14:solidFill>
          </w14:textFill>
        </w:rPr>
        <w:t xml:space="preserve">  </w:t>
      </w:r>
      <w:r>
        <w:rPr>
          <w:rFonts w:ascii="Times New Roman" w:hAnsi="Times New Roman" w:eastAsia="黑体"/>
          <w:bCs/>
          <w:color w:val="000000" w:themeColor="text1"/>
          <w:sz w:val="32"/>
          <w:szCs w:val="32"/>
          <w:highlight w:val="none"/>
          <w14:textFill>
            <w14:solidFill>
              <w14:schemeClr w14:val="tx1"/>
            </w14:solidFill>
          </w14:textFill>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194EA06F">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24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本标准按照GB/T 1.1-2009《标准化工作导则 第1部分：标准的结构和编写》给出的规则起草。</w:t>
      </w:r>
    </w:p>
    <w:p w14:paraId="43EFBF2B">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240" w:lineRule="auto"/>
        <w:ind w:firstLine="420" w:firstLineChars="200"/>
        <w:textAlignment w:val="auto"/>
        <w:rPr>
          <w:rFonts w:hint="eastAsia" w:ascii="宋体" w:hAnsi="宋体" w:eastAsia="宋体" w:cs="宋体"/>
          <w:color w:val="000000" w:themeColor="text1"/>
          <w:sz w:val="21"/>
          <w:szCs w:val="21"/>
          <w:highlight w:val="none"/>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本标准由中国</w:t>
      </w:r>
      <w:r>
        <w:rPr>
          <w:rFonts w:hint="eastAsia" w:ascii="宋体" w:hAnsi="宋体" w:eastAsia="宋体" w:cs="宋体"/>
          <w:color w:val="000000" w:themeColor="text1"/>
          <w:sz w:val="21"/>
          <w:szCs w:val="21"/>
          <w:highlight w:val="none"/>
          <w:lang w:val="en-US" w:eastAsia="zh-CN"/>
          <w14:textFill>
            <w14:solidFill>
              <w14:schemeClr w14:val="tx1"/>
            </w14:solidFill>
          </w14:textFill>
        </w:rPr>
        <w:t>乡村发展协会</w:t>
      </w:r>
      <w:r>
        <w:rPr>
          <w:rFonts w:hint="eastAsia" w:ascii="宋体" w:hAnsi="宋体" w:eastAsia="宋体" w:cs="宋体"/>
          <w:color w:val="000000" w:themeColor="text1"/>
          <w:sz w:val="21"/>
          <w:szCs w:val="21"/>
          <w:highlight w:val="none"/>
          <w14:textFill>
            <w14:solidFill>
              <w14:schemeClr w14:val="tx1"/>
            </w14:solidFill>
          </w14:textFill>
        </w:rPr>
        <w:t>提出并归口。</w:t>
      </w:r>
    </w:p>
    <w:p w14:paraId="5D734FB2">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240" w:lineRule="auto"/>
        <w:ind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本标准起草单位：广东省中药研究所、成都中医药大学、中健安检测认证中心有限公司</w:t>
      </w:r>
      <w:r>
        <w:rPr>
          <w:rFonts w:hint="eastAsia" w:ascii="宋体" w:hAnsi="宋体" w:cs="宋体"/>
          <w:color w:val="000000" w:themeColor="text1"/>
          <w:sz w:val="21"/>
          <w:szCs w:val="21"/>
          <w:highlight w:val="none"/>
          <w:lang w:eastAsia="zh-CN"/>
          <w14:textFill>
            <w14:solidFill>
              <w14:schemeClr w14:val="tx1"/>
            </w14:solidFill>
          </w14:textFill>
        </w:rPr>
        <w:t>。</w:t>
      </w:r>
    </w:p>
    <w:p w14:paraId="73421B77">
      <w:pPr>
        <w:keepNext w:val="0"/>
        <w:keepLines w:val="0"/>
        <w:pageBreakBefore w:val="0"/>
        <w:widowControl/>
        <w:tabs>
          <w:tab w:val="center" w:pos="4201"/>
          <w:tab w:val="right" w:leader="dot" w:pos="9298"/>
        </w:tabs>
        <w:kinsoku/>
        <w:wordWrap/>
        <w:overflowPunct/>
        <w:topLinePunct w:val="0"/>
        <w:autoSpaceDE w:val="0"/>
        <w:autoSpaceDN w:val="0"/>
        <w:bidi w:val="0"/>
        <w:adjustRightInd/>
        <w:snapToGrid/>
        <w:spacing w:line="240" w:lineRule="auto"/>
        <w:ind w:firstLine="420" w:firstLineChars="200"/>
        <w:textAlignment w:val="auto"/>
        <w:rPr>
          <w:rFonts w:hint="eastAsia" w:ascii="宋体" w:hAnsi="宋体" w:eastAsia="宋体" w:cs="宋体"/>
          <w:color w:val="000000" w:themeColor="text1"/>
          <w:sz w:val="21"/>
          <w:szCs w:val="21"/>
          <w:highlight w:val="none"/>
          <w:lang w:eastAsia="zh-CN"/>
          <w14:textFill>
            <w14:solidFill>
              <w14:schemeClr w14:val="tx1"/>
            </w14:solidFill>
          </w14:textFill>
        </w:rPr>
      </w:pPr>
      <w:r>
        <w:rPr>
          <w:rFonts w:hint="eastAsia" w:ascii="宋体" w:hAnsi="宋体" w:eastAsia="宋体" w:cs="宋体"/>
          <w:color w:val="000000" w:themeColor="text1"/>
          <w:sz w:val="21"/>
          <w:szCs w:val="21"/>
          <w:highlight w:val="none"/>
          <w14:textFill>
            <w14:solidFill>
              <w14:schemeClr w14:val="tx1"/>
            </w14:solidFill>
          </w14:textFill>
        </w:rPr>
        <w:t>本标准主要起草人：曾庆钱</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郑艳、李美恋、陈卫明、郑良豹、李倩文</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高继海</w:t>
      </w:r>
      <w:r>
        <w:rPr>
          <w:rFonts w:hint="eastAsia" w:ascii="宋体" w:hAnsi="宋体" w:cs="宋体"/>
          <w:color w:val="000000" w:themeColor="text1"/>
          <w:sz w:val="21"/>
          <w:szCs w:val="21"/>
          <w:highlight w:val="none"/>
          <w:lang w:eastAsia="zh-CN"/>
          <w14:textFill>
            <w14:solidFill>
              <w14:schemeClr w14:val="tx1"/>
            </w14:solidFill>
          </w14:textFill>
        </w:rPr>
        <w:t>、</w:t>
      </w:r>
      <w:r>
        <w:rPr>
          <w:rFonts w:hint="eastAsia" w:ascii="宋体" w:hAnsi="宋体" w:eastAsia="宋体" w:cs="宋体"/>
          <w:color w:val="000000" w:themeColor="text1"/>
          <w:sz w:val="21"/>
          <w:szCs w:val="21"/>
          <w:highlight w:val="none"/>
          <w14:textFill>
            <w14:solidFill>
              <w14:schemeClr w14:val="tx1"/>
            </w14:solidFill>
          </w14:textFill>
        </w:rPr>
        <w:t>王琦</w:t>
      </w:r>
      <w:r>
        <w:rPr>
          <w:rFonts w:hint="eastAsia" w:ascii="宋体" w:hAnsi="宋体" w:cs="宋体"/>
          <w:color w:val="000000" w:themeColor="text1"/>
          <w:sz w:val="21"/>
          <w:szCs w:val="21"/>
          <w:highlight w:val="none"/>
          <w:lang w:eastAsia="zh-CN"/>
          <w14:textFill>
            <w14:solidFill>
              <w14:schemeClr w14:val="tx1"/>
            </w14:solidFill>
          </w14:textFill>
        </w:rPr>
        <w:t>。</w:t>
      </w:r>
    </w:p>
    <w:p w14:paraId="5030D84C">
      <w:pPr>
        <w:keepNext w:val="0"/>
        <w:keepLines w:val="0"/>
        <w:pageBreakBefore w:val="0"/>
        <w:kinsoku/>
        <w:wordWrap/>
        <w:overflowPunct/>
        <w:topLinePunct w:val="0"/>
        <w:bidi w:val="0"/>
        <w:adjustRightInd/>
        <w:snapToGrid/>
        <w:spacing w:line="240" w:lineRule="auto"/>
        <w:textAlignment w:val="auto"/>
        <w:rPr>
          <w:rFonts w:ascii="黑体" w:hAnsi="黑体" w:eastAsia="黑体"/>
          <w:bCs/>
          <w:color w:val="000000" w:themeColor="text1"/>
          <w:sz w:val="32"/>
          <w:szCs w:val="32"/>
          <w:highlight w:val="none"/>
          <w14:textFill>
            <w14:solidFill>
              <w14:schemeClr w14:val="tx1"/>
            </w14:solidFill>
          </w14:textFill>
        </w:rPr>
      </w:pPr>
      <w:r>
        <w:rPr>
          <w:rFonts w:ascii="黑体" w:hAnsi="黑体" w:eastAsia="黑体"/>
          <w:bCs/>
          <w:color w:val="000000" w:themeColor="text1"/>
          <w:sz w:val="32"/>
          <w:szCs w:val="32"/>
          <w:highlight w:val="none"/>
          <w14:textFill>
            <w14:solidFill>
              <w14:schemeClr w14:val="tx1"/>
            </w14:solidFill>
          </w14:textFill>
        </w:rPr>
        <w:br w:type="page"/>
      </w:r>
    </w:p>
    <w:p w14:paraId="36CE30EE">
      <w:pPr>
        <w:keepNext w:val="0"/>
        <w:keepLines w:val="0"/>
        <w:pageBreakBefore w:val="0"/>
        <w:widowControl w:val="0"/>
        <w:kinsoku/>
        <w:wordWrap/>
        <w:overflowPunct/>
        <w:topLinePunct w:val="0"/>
        <w:autoSpaceDE/>
        <w:autoSpaceDN/>
        <w:bidi w:val="0"/>
        <w:adjustRightInd/>
        <w:snapToGrid/>
        <w:spacing w:before="0" w:beforeLines="100" w:after="0" w:afterLines="100" w:line="240" w:lineRule="auto"/>
        <w:jc w:val="center"/>
        <w:textAlignment w:val="auto"/>
        <w:rPr>
          <w:rFonts w:hint="default" w:ascii="黑体" w:hAnsi="黑体" w:eastAsia="黑体"/>
          <w:bCs/>
          <w:color w:val="000000" w:themeColor="text1"/>
          <w:sz w:val="32"/>
          <w:szCs w:val="32"/>
          <w:highlight w:val="none"/>
          <w:lang w:val="en-US" w:eastAsia="zh-CN"/>
          <w14:textFill>
            <w14:solidFill>
              <w14:schemeClr w14:val="tx1"/>
            </w14:solidFill>
          </w14:textFill>
        </w:rPr>
      </w:pPr>
      <w:r>
        <w:rPr>
          <w:rFonts w:hint="eastAsia" w:ascii="黑体" w:hAnsi="黑体" w:eastAsia="黑体"/>
          <w:bCs/>
          <w:color w:val="000000" w:themeColor="text1"/>
          <w:sz w:val="32"/>
          <w:szCs w:val="32"/>
          <w:highlight w:val="none"/>
          <w:lang w:val="en-US" w:eastAsia="zh-CN"/>
          <w14:textFill>
            <w14:solidFill>
              <w14:schemeClr w14:val="tx1"/>
            </w14:solidFill>
          </w14:textFill>
        </w:rPr>
        <w:t>道地</w:t>
      </w:r>
      <w:r>
        <w:rPr>
          <w:rFonts w:hint="eastAsia" w:ascii="黑体" w:hAnsi="黑体" w:eastAsia="黑体"/>
          <w:bCs/>
          <w:color w:val="000000" w:themeColor="text1"/>
          <w:sz w:val="32"/>
          <w:szCs w:val="32"/>
          <w:highlight w:val="none"/>
          <w14:textFill>
            <w14:solidFill>
              <w14:schemeClr w14:val="tx1"/>
            </w14:solidFill>
          </w14:textFill>
        </w:rPr>
        <w:t>药材集采交易标准</w:t>
      </w:r>
      <w:r>
        <w:rPr>
          <w:rFonts w:hint="eastAsia" w:ascii="黑体" w:hAnsi="黑体" w:eastAsia="黑体"/>
          <w:bCs/>
          <w:color w:val="000000" w:themeColor="text1"/>
          <w:sz w:val="32"/>
          <w:szCs w:val="32"/>
          <w:highlight w:val="none"/>
          <w:lang w:val="en-US" w:eastAsia="zh-CN"/>
          <w14:textFill>
            <w14:solidFill>
              <w14:schemeClr w14:val="tx1"/>
            </w14:solidFill>
          </w14:textFill>
        </w:rPr>
        <w:t xml:space="preserve"> 广陈皮</w:t>
      </w:r>
    </w:p>
    <w:p w14:paraId="7CAE7A37">
      <w:pPr>
        <w:pStyle w:val="4"/>
        <w:keepNext w:val="0"/>
        <w:keepLines w:val="0"/>
        <w:pageBreakBefore w:val="0"/>
        <w:widowControl w:val="0"/>
        <w:kinsoku/>
        <w:wordWrap/>
        <w:overflowPunct/>
        <w:topLinePunct w:val="0"/>
        <w:autoSpaceDE/>
        <w:autoSpaceDN/>
        <w:bidi w:val="0"/>
        <w:adjustRightInd/>
        <w:snapToGrid/>
        <w:spacing w:before="0" w:beforeLines="100" w:after="0" w:afterLines="100" w:line="240" w:lineRule="auto"/>
        <w:jc w:val="both"/>
        <w:textAlignment w:val="auto"/>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1 范围</w:t>
      </w:r>
    </w:p>
    <w:p w14:paraId="1CA02343">
      <w:pPr>
        <w:pStyle w:val="4"/>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本标准规定了</w:t>
      </w:r>
      <w:r>
        <w:rPr>
          <w:rFonts w:hint="eastAsia" w:ascii="宋体" w:hAnsi="宋体" w:cs="宋体"/>
          <w:bCs/>
          <w:color w:val="000000" w:themeColor="text1"/>
          <w:sz w:val="21"/>
          <w:szCs w:val="21"/>
          <w:highlight w:val="none"/>
          <w:lang w:val="en-US" w:eastAsia="zh-CN"/>
          <w14:textFill>
            <w14:solidFill>
              <w14:schemeClr w14:val="tx1"/>
            </w14:solidFill>
          </w14:textFill>
        </w:rPr>
        <w:t>道地</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药材</w:t>
      </w:r>
      <w:r>
        <w:rPr>
          <w:rFonts w:hint="eastAsia" w:ascii="宋体" w:hAnsi="宋体" w:cs="宋体"/>
          <w:bCs/>
          <w:color w:val="000000" w:themeColor="text1"/>
          <w:sz w:val="21"/>
          <w:szCs w:val="21"/>
          <w:highlight w:val="none"/>
          <w:lang w:val="en-US" w:eastAsia="zh-CN"/>
          <w14:textFill>
            <w14:solidFill>
              <w14:schemeClr w14:val="tx1"/>
            </w14:solidFill>
          </w14:textFill>
        </w:rPr>
        <w:t>陈皮的术语和定义、集采要求</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p>
    <w:p w14:paraId="78F23111">
      <w:pPr>
        <w:pStyle w:val="4"/>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cs="宋体"/>
          <w:bCs/>
          <w:color w:val="000000" w:themeColor="text1"/>
          <w:sz w:val="21"/>
          <w:szCs w:val="21"/>
          <w:highlight w:val="none"/>
          <w:lang w:val="en-US" w:eastAsia="zh-CN"/>
          <w14:textFill>
            <w14:solidFill>
              <w14:schemeClr w14:val="tx1"/>
            </w14:solidFill>
          </w14:textFill>
        </w:rPr>
        <w:t>本标准适用于指导中华人民共和国境内道地</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药材</w:t>
      </w:r>
      <w:r>
        <w:rPr>
          <w:rFonts w:hint="eastAsia" w:ascii="宋体" w:hAnsi="宋体" w:cs="宋体"/>
          <w:bCs/>
          <w:color w:val="000000" w:themeColor="text1"/>
          <w:sz w:val="21"/>
          <w:szCs w:val="21"/>
          <w:highlight w:val="none"/>
          <w:lang w:val="en-US" w:eastAsia="zh-CN"/>
          <w14:textFill>
            <w14:solidFill>
              <w14:schemeClr w14:val="tx1"/>
            </w14:solidFill>
          </w14:textFill>
        </w:rPr>
        <w:t>陈皮的集采</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交易。</w:t>
      </w:r>
    </w:p>
    <w:p w14:paraId="5E9EDBCB">
      <w:pPr>
        <w:pStyle w:val="4"/>
        <w:keepNext w:val="0"/>
        <w:keepLines w:val="0"/>
        <w:pageBreakBefore w:val="0"/>
        <w:widowControl w:val="0"/>
        <w:kinsoku/>
        <w:wordWrap/>
        <w:overflowPunct/>
        <w:topLinePunct w:val="0"/>
        <w:autoSpaceDE/>
        <w:autoSpaceDN/>
        <w:bidi w:val="0"/>
        <w:adjustRightInd/>
        <w:snapToGrid/>
        <w:spacing w:before="0" w:beforeLines="100" w:after="0" w:afterLines="100" w:line="240" w:lineRule="auto"/>
        <w:jc w:val="both"/>
        <w:textAlignment w:val="auto"/>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2 规范性引用文件</w:t>
      </w:r>
    </w:p>
    <w:p w14:paraId="34010D2C">
      <w:pPr>
        <w:pStyle w:val="3"/>
        <w:keepNext w:val="0"/>
        <w:keepLines w:val="0"/>
        <w:pageBreakBefore w:val="0"/>
        <w:widowControl w:val="0"/>
        <w:kinsoku/>
        <w:wordWrap/>
        <w:overflowPunct/>
        <w:topLinePunct w:val="0"/>
        <w:autoSpaceDE/>
        <w:autoSpaceDN/>
        <w:bidi w:val="0"/>
        <w:adjustRightInd/>
        <w:snapToGrid/>
        <w:spacing w:before="0" w:beforeLines="0" w:after="0" w:afterLines="0" w:line="240" w:lineRule="auto"/>
        <w:textAlignment w:val="auto"/>
        <w:rPr>
          <w:rFonts w:hint="default"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下列文件对于本文件的应用是必不可少的。凡是注日期的引用文件，仅注日期的版本适用于本文件。凡是不注日期的引用文件，其最新版本（包括所有的修改单）适用于本文件。</w:t>
      </w:r>
    </w:p>
    <w:p w14:paraId="5C8C7F29">
      <w:pPr>
        <w:pStyle w:val="4"/>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T/ZGXCFZXH 0001.1-2024</w:t>
      </w:r>
      <w:r>
        <w:rPr>
          <w:rFonts w:hint="eastAsia" w:ascii="宋体" w:hAnsi="宋体" w:cs="宋体"/>
          <w:bCs/>
          <w:color w:val="000000" w:themeColor="text1"/>
          <w:sz w:val="21"/>
          <w:szCs w:val="21"/>
          <w:highlight w:val="none"/>
          <w:lang w:val="en-US" w:eastAsia="zh-CN"/>
          <w14:textFill>
            <w14:solidFill>
              <w14:schemeClr w14:val="tx1"/>
            </w14:solidFill>
          </w14:textFill>
        </w:rPr>
        <w:t xml:space="preserve"> 《道地药材集采交易标准编制通则》</w:t>
      </w:r>
    </w:p>
    <w:p w14:paraId="4E1AFEA1">
      <w:pPr>
        <w:pStyle w:val="4"/>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T/CACM 1021.1-2016</w:t>
      </w:r>
      <w:r>
        <w:rPr>
          <w:rFonts w:hint="eastAsia" w:ascii="宋体" w:hAnsi="宋体" w:cs="宋体"/>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r>
        <w:rPr>
          <w:rFonts w:hint="eastAsia" w:ascii="宋体" w:hAnsi="宋体" w:cs="宋体"/>
          <w:bCs/>
          <w:color w:val="000000" w:themeColor="text1"/>
          <w:sz w:val="21"/>
          <w:szCs w:val="21"/>
          <w:highlight w:val="none"/>
          <w:lang w:val="en-US" w:eastAsia="zh-CN"/>
          <w14:textFill>
            <w14:solidFill>
              <w14:schemeClr w14:val="tx1"/>
            </w14:solidFill>
          </w14:textFill>
        </w:rPr>
        <w:t>中药材商品规格等级标准编制通则</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p>
    <w:p w14:paraId="0072E020">
      <w:pPr>
        <w:pStyle w:val="4"/>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T</w:t>
      </w:r>
      <w:r>
        <w:rPr>
          <w:rFonts w:hint="eastAsia" w:ascii="宋体" w:hAnsi="宋体" w:cs="宋体"/>
          <w:bCs/>
          <w:color w:val="000000" w:themeColor="text1"/>
          <w:sz w:val="21"/>
          <w:szCs w:val="21"/>
          <w:highlight w:val="none"/>
          <w:lang w:val="en-US" w:eastAsia="zh-CN"/>
          <w14:textFill>
            <w14:solidFill>
              <w14:schemeClr w14:val="tx1"/>
            </w14:solidFill>
          </w14:textFill>
        </w:rPr>
        <w:t>/</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CACM 1021.99-2018</w:t>
      </w:r>
      <w:r>
        <w:rPr>
          <w:rFonts w:hint="eastAsia" w:ascii="宋体" w:hAnsi="宋体" w:cs="宋体"/>
          <w:bCs/>
          <w:color w:val="000000" w:themeColor="text1"/>
          <w:sz w:val="21"/>
          <w:szCs w:val="21"/>
          <w:highlight w:val="none"/>
          <w:lang w:val="en-US" w:eastAsia="zh-CN"/>
          <w14:textFill>
            <w14:solidFill>
              <w14:schemeClr w14:val="tx1"/>
            </w14:solidFill>
          </w14:textFill>
        </w:rPr>
        <w:t xml:space="preserve"> </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《中药材商品规格等级 陈皮》</w:t>
      </w:r>
    </w:p>
    <w:p w14:paraId="566D36F2">
      <w:pPr>
        <w:pStyle w:val="4"/>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T/CACM 1020.</w:t>
      </w:r>
      <w:r>
        <w:rPr>
          <w:rFonts w:hint="eastAsia" w:ascii="宋体" w:hAnsi="宋体" w:cs="宋体"/>
          <w:bCs/>
          <w:color w:val="000000" w:themeColor="text1"/>
          <w:sz w:val="21"/>
          <w:szCs w:val="21"/>
          <w:highlight w:val="none"/>
          <w:lang w:val="en-US" w:eastAsia="zh-CN"/>
          <w14:textFill>
            <w14:solidFill>
              <w14:schemeClr w14:val="tx1"/>
            </w14:solidFill>
          </w14:textFill>
        </w:rPr>
        <w:t>90</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 xml:space="preserve">-2019 《道地药材标准 </w:t>
      </w:r>
      <w:r>
        <w:rPr>
          <w:rFonts w:hint="eastAsia" w:ascii="宋体" w:hAnsi="宋体" w:cs="宋体"/>
          <w:bCs/>
          <w:color w:val="000000" w:themeColor="text1"/>
          <w:sz w:val="21"/>
          <w:szCs w:val="21"/>
          <w:highlight w:val="none"/>
          <w:lang w:val="en-US" w:eastAsia="zh-CN"/>
          <w14:textFill>
            <w14:solidFill>
              <w14:schemeClr w14:val="tx1"/>
            </w14:solidFill>
          </w14:textFill>
        </w:rPr>
        <w:t>广陈皮</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w:t>
      </w:r>
    </w:p>
    <w:p w14:paraId="1A8D1CDF">
      <w:pPr>
        <w:pStyle w:val="4"/>
        <w:keepNext w:val="0"/>
        <w:keepLines w:val="0"/>
        <w:pageBreakBefore w:val="0"/>
        <w:widowControl w:val="0"/>
        <w:kinsoku/>
        <w:wordWrap/>
        <w:overflowPunct/>
        <w:topLinePunct w:val="0"/>
        <w:autoSpaceDE/>
        <w:autoSpaceDN/>
        <w:bidi w:val="0"/>
        <w:adjustRightInd/>
        <w:snapToGrid/>
        <w:spacing w:before="0" w:beforeLines="100" w:after="0" w:afterLines="100" w:line="240" w:lineRule="auto"/>
        <w:jc w:val="both"/>
        <w:textAlignment w:val="auto"/>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3 术语和定义</w:t>
      </w:r>
    </w:p>
    <w:p w14:paraId="19AE7800">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jc w:val="left"/>
        <w:textAlignment w:val="auto"/>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3.1</w:t>
      </w:r>
    </w:p>
    <w:p w14:paraId="0365DFE8">
      <w:pPr>
        <w:keepNext w:val="0"/>
        <w:keepLines w:val="0"/>
        <w:pageBreakBefore w:val="0"/>
        <w:widowControl/>
        <w:suppressLineNumbers w:val="0"/>
        <w:kinsoku/>
        <w:wordWrap/>
        <w:overflowPunct/>
        <w:topLinePunct w:val="0"/>
        <w:autoSpaceDE/>
        <w:autoSpaceDN/>
        <w:bidi w:val="0"/>
        <w:adjustRightInd/>
        <w:snapToGrid/>
        <w:spacing w:before="157" w:beforeLines="50" w:after="157" w:afterLines="50" w:line="240" w:lineRule="auto"/>
        <w:ind w:firstLine="420" w:firstLineChars="200"/>
        <w:jc w:val="left"/>
        <w:textAlignment w:val="auto"/>
        <w:rPr>
          <w:rFonts w:hint="default"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广陈皮  guang chen pi</w:t>
      </w:r>
    </w:p>
    <w:p w14:paraId="0670C533">
      <w:pPr>
        <w:pStyle w:val="12"/>
        <w:keepNext w:val="0"/>
        <w:keepLines w:val="0"/>
        <w:pageBreakBefore w:val="0"/>
        <w:kinsoku/>
        <w:wordWrap/>
        <w:overflowPunct/>
        <w:topLinePunct w:val="0"/>
        <w:bidi w:val="0"/>
        <w:adjustRightInd/>
        <w:snapToGrid/>
        <w:spacing w:after="0" w:afterLines="0" w:line="240" w:lineRule="auto"/>
        <w:textAlignment w:val="auto"/>
        <w:rPr>
          <w:rFonts w:hint="eastAsia"/>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 xml:space="preserve">产于广东省江门市新会区的陈皮药材，又名“新会陈皮”。 </w:t>
      </w:r>
    </w:p>
    <w:p w14:paraId="2FE486CF">
      <w:pPr>
        <w:pStyle w:val="4"/>
        <w:keepNext w:val="0"/>
        <w:keepLines w:val="0"/>
        <w:pageBreakBefore w:val="0"/>
        <w:widowControl w:val="0"/>
        <w:kinsoku/>
        <w:wordWrap/>
        <w:overflowPunct/>
        <w:topLinePunct w:val="0"/>
        <w:autoSpaceDE/>
        <w:autoSpaceDN/>
        <w:bidi w:val="0"/>
        <w:adjustRightInd/>
        <w:snapToGrid/>
        <w:spacing w:before="0" w:beforeLines="100" w:after="0" w:afterLines="100" w:line="240" w:lineRule="auto"/>
        <w:jc w:val="both"/>
        <w:textAlignment w:val="auto"/>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 集采要求</w:t>
      </w:r>
    </w:p>
    <w:p w14:paraId="6A5F2F9B">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4.1来源</w:t>
      </w:r>
    </w:p>
    <w:p w14:paraId="734D65F5">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4.1.1 基原</w:t>
      </w:r>
    </w:p>
    <w:p w14:paraId="70E8DEE7">
      <w:pPr>
        <w:pStyle w:val="12"/>
        <w:keepNext w:val="0"/>
        <w:keepLines w:val="0"/>
        <w:pageBreakBefore w:val="0"/>
        <w:kinsoku/>
        <w:wordWrap/>
        <w:overflowPunct/>
        <w:topLinePunct w:val="0"/>
        <w:bidi w:val="0"/>
        <w:adjustRightInd/>
        <w:snapToGrid/>
        <w:spacing w:after="0" w:afterLines="0" w:line="240" w:lineRule="auto"/>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color w:val="000000" w:themeColor="text1"/>
          <w:sz w:val="21"/>
          <w:szCs w:val="21"/>
          <w:highlight w:val="none"/>
          <w14:textFill>
            <w14:solidFill>
              <w14:schemeClr w14:val="tx1"/>
            </w14:solidFill>
          </w14:textFill>
        </w:rPr>
        <w:t>芸香科植物</w:t>
      </w:r>
      <w:r>
        <w:rPr>
          <w:rFonts w:hint="eastAsia"/>
          <w:color w:val="000000" w:themeColor="text1"/>
          <w:sz w:val="21"/>
          <w:szCs w:val="21"/>
          <w:highlight w:val="none"/>
          <w:lang w:eastAsia="zh-CN"/>
          <w14:textFill>
            <w14:solidFill>
              <w14:schemeClr w14:val="tx1"/>
            </w14:solidFill>
          </w14:textFill>
        </w:rPr>
        <w:t>茶枝柑</w:t>
      </w:r>
      <w:r>
        <w:rPr>
          <w:rFonts w:hint="eastAsia"/>
          <w:i/>
          <w:iCs/>
          <w:color w:val="000000" w:themeColor="text1"/>
          <w:sz w:val="21"/>
          <w:szCs w:val="21"/>
          <w:highlight w:val="none"/>
          <w:lang w:eastAsia="zh-CN"/>
          <w14:textFill>
            <w14:solidFill>
              <w14:schemeClr w14:val="tx1"/>
            </w14:solidFill>
          </w14:textFill>
        </w:rPr>
        <w:t>Citrus reticulata</w:t>
      </w:r>
      <w:r>
        <w:rPr>
          <w:rFonts w:hint="eastAsia"/>
          <w:color w:val="000000" w:themeColor="text1"/>
          <w:sz w:val="21"/>
          <w:szCs w:val="21"/>
          <w:highlight w:val="none"/>
          <w:lang w:eastAsia="zh-CN"/>
          <w14:textFill>
            <w14:solidFill>
              <w14:schemeClr w14:val="tx1"/>
            </w14:solidFill>
          </w14:textFill>
        </w:rPr>
        <w:t xml:space="preserve"> cv.</w:t>
      </w:r>
      <w:r>
        <w:rPr>
          <w:rFonts w:hint="eastAsia"/>
          <w:color w:val="000000" w:themeColor="text1"/>
          <w:sz w:val="21"/>
          <w:szCs w:val="21"/>
          <w:highlight w:val="none"/>
          <w:lang w:val="en-US" w:eastAsia="zh-CN"/>
          <w14:textFill>
            <w14:solidFill>
              <w14:schemeClr w14:val="tx1"/>
            </w14:solidFill>
          </w14:textFill>
        </w:rPr>
        <w:t xml:space="preserve"> </w:t>
      </w:r>
      <w:r>
        <w:rPr>
          <w:rFonts w:hint="default"/>
          <w:color w:val="000000" w:themeColor="text1"/>
          <w:sz w:val="21"/>
          <w:szCs w:val="21"/>
          <w:highlight w:val="none"/>
          <w:lang w:val="en-US" w:eastAsia="zh-CN"/>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Chachiensis’。</w:t>
      </w:r>
    </w:p>
    <w:p w14:paraId="2AF2F435">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4.1.2 药用部位</w:t>
      </w:r>
    </w:p>
    <w:p w14:paraId="0465ABE7">
      <w:pPr>
        <w:pStyle w:val="12"/>
        <w:keepNext w:val="0"/>
        <w:keepLines w:val="0"/>
        <w:pageBreakBefore w:val="0"/>
        <w:kinsoku/>
        <w:wordWrap/>
        <w:overflowPunct/>
        <w:topLinePunct w:val="0"/>
        <w:bidi w:val="0"/>
        <w:adjustRightInd/>
        <w:snapToGrid/>
        <w:spacing w:after="0" w:afterLines="0" w:line="240" w:lineRule="auto"/>
        <w:textAlignment w:val="auto"/>
        <w:rPr>
          <w:rFonts w:hint="eastAsia"/>
          <w:color w:val="000000" w:themeColor="text1"/>
          <w:sz w:val="21"/>
          <w:szCs w:val="21"/>
          <w:highlight w:val="none"/>
          <w:lang w:val="en-US" w:eastAsia="zh-CN"/>
          <w14:textFill>
            <w14:solidFill>
              <w14:schemeClr w14:val="tx1"/>
            </w14:solidFill>
          </w14:textFill>
        </w:rPr>
      </w:pPr>
      <w:r>
        <w:rPr>
          <w:color w:val="000000" w:themeColor="text1"/>
          <w:sz w:val="21"/>
          <w:szCs w:val="21"/>
          <w:highlight w:val="none"/>
          <w14:textFill>
            <w14:solidFill>
              <w14:schemeClr w14:val="tx1"/>
            </w14:solidFill>
          </w14:textFill>
        </w:rPr>
        <w:t>干燥成熟果皮</w:t>
      </w:r>
      <w:r>
        <w:rPr>
          <w:rFonts w:hint="eastAsia"/>
          <w:color w:val="000000" w:themeColor="text1"/>
          <w:sz w:val="21"/>
          <w:szCs w:val="21"/>
          <w:highlight w:val="none"/>
          <w:lang w:eastAsia="zh-CN"/>
          <w14:textFill>
            <w14:solidFill>
              <w14:schemeClr w14:val="tx1"/>
            </w14:solidFill>
          </w14:textFill>
        </w:rPr>
        <w:t>。</w:t>
      </w:r>
    </w:p>
    <w:p w14:paraId="56662ED9">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4.1.3 产地</w:t>
      </w:r>
    </w:p>
    <w:p w14:paraId="43061CE3">
      <w:pPr>
        <w:pStyle w:val="12"/>
        <w:keepNext w:val="0"/>
        <w:keepLines w:val="0"/>
        <w:pageBreakBefore w:val="0"/>
        <w:kinsoku/>
        <w:wordWrap/>
        <w:overflowPunct/>
        <w:topLinePunct w:val="0"/>
        <w:bidi w:val="0"/>
        <w:adjustRightInd/>
        <w:snapToGrid/>
        <w:spacing w:after="0" w:afterLines="0" w:line="240" w:lineRule="auto"/>
        <w:textAlignment w:val="auto"/>
        <w:rPr>
          <w:rFonts w:hint="default"/>
          <w:color w:val="000000" w:themeColor="text1"/>
          <w:sz w:val="21"/>
          <w:szCs w:val="21"/>
          <w:highlight w:val="none"/>
          <w:lang w:val="en-US" w:eastAsia="zh-CN"/>
          <w14:textFill>
            <w14:solidFill>
              <w14:schemeClr w14:val="tx1"/>
            </w14:solidFill>
          </w14:textFill>
        </w:rPr>
      </w:pPr>
      <w:r>
        <w:rPr>
          <w:rFonts w:hint="default"/>
          <w:color w:val="000000" w:themeColor="text1"/>
          <w:sz w:val="21"/>
          <w:szCs w:val="21"/>
          <w:highlight w:val="none"/>
          <w:lang w:val="en-US" w:eastAsia="zh-CN"/>
          <w14:textFill>
            <w14:solidFill>
              <w14:schemeClr w14:val="tx1"/>
            </w14:solidFill>
          </w14:textFill>
        </w:rPr>
        <w:t>主产于广东省江门市新会区(会城街道办、大泽镇、司前镇、罗坑镇、双水镇、崖门镇、沙堆镇、古井镇、三江镇、睦洲镇、大螯镇和围垦指挥部行政区域)为中心，核心区域包括以银洲湖两岸冲积平原为核心的新会境内潭江沿岸冲积平原带和南部海滨沉积平原新垦区的陈皮。</w:t>
      </w:r>
    </w:p>
    <w:p w14:paraId="5E322305">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4.1.4 采收期</w:t>
      </w:r>
    </w:p>
    <w:p w14:paraId="5365821D">
      <w:pPr>
        <w:pStyle w:val="3"/>
        <w:keepNext w:val="0"/>
        <w:keepLines w:val="0"/>
        <w:pageBreakBefore w:val="0"/>
        <w:kinsoku/>
        <w:wordWrap/>
        <w:overflowPunct/>
        <w:topLinePunct w:val="0"/>
        <w:bidi w:val="0"/>
        <w:adjustRightInd/>
        <w:snapToGrid/>
        <w:spacing w:before="157" w:beforeLines="50" w:after="157" w:afterLines="50" w:line="240" w:lineRule="auto"/>
        <w:rPr>
          <w:rFonts w:hint="default"/>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食用时采收。</w:t>
      </w:r>
    </w:p>
    <w:p w14:paraId="1687FD12">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4.1.5 产地加工</w:t>
      </w:r>
    </w:p>
    <w:p w14:paraId="76DF9C86">
      <w:pPr>
        <w:pStyle w:val="12"/>
        <w:keepNext w:val="0"/>
        <w:keepLines w:val="0"/>
        <w:pageBreakBefore w:val="0"/>
        <w:kinsoku/>
        <w:wordWrap/>
        <w:overflowPunct/>
        <w:topLinePunct w:val="0"/>
        <w:bidi w:val="0"/>
        <w:adjustRightInd/>
        <w:snapToGrid/>
        <w:spacing w:after="0" w:afterLines="0" w:line="240" w:lineRule="auto"/>
        <w:textAlignment w:val="auto"/>
        <w:rPr>
          <w:rFonts w:hint="eastAsia"/>
          <w:color w:val="000000" w:themeColor="text1"/>
          <w:sz w:val="21"/>
          <w:szCs w:val="21"/>
          <w:highlight w:val="none"/>
          <w:lang w:val="en-US" w:eastAsia="zh-CN"/>
          <w14:textFill>
            <w14:solidFill>
              <w14:schemeClr w14:val="tx1"/>
            </w14:solidFill>
          </w14:textFill>
        </w:rPr>
      </w:pPr>
      <w:r>
        <w:rPr>
          <w:color w:val="000000" w:themeColor="text1"/>
          <w:sz w:val="21"/>
          <w:szCs w:val="21"/>
          <w:highlight w:val="none"/>
          <w14:textFill>
            <w14:solidFill>
              <w14:schemeClr w14:val="tx1"/>
            </w14:solidFill>
          </w14:textFill>
        </w:rPr>
        <w:t>釆摘成熟果实</w:t>
      </w:r>
      <w:r>
        <w:rPr>
          <w:rFonts w:hint="eastAsia"/>
          <w:color w:val="000000" w:themeColor="text1"/>
          <w:sz w:val="21"/>
          <w:szCs w:val="21"/>
          <w:highlight w:val="none"/>
          <w:lang w:val="en-US" w:eastAsia="zh-CN"/>
          <w14:textFill>
            <w14:solidFill>
              <w14:schemeClr w14:val="tx1"/>
            </w14:solidFill>
          </w14:textFill>
        </w:rPr>
        <w:t>后</w:t>
      </w:r>
      <w:r>
        <w:rPr>
          <w:color w:val="000000" w:themeColor="text1"/>
          <w:sz w:val="21"/>
          <w:szCs w:val="21"/>
          <w:highlight w:val="none"/>
          <w14:textFill>
            <w14:solidFill>
              <w14:schemeClr w14:val="tx1"/>
            </w14:solidFill>
          </w14:textFill>
        </w:rPr>
        <w:t>，剥取果皮，晒干或低温干燥。</w:t>
      </w:r>
    </w:p>
    <w:p w14:paraId="6F54A2FC">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4.2 性状</w:t>
      </w:r>
    </w:p>
    <w:p w14:paraId="1DE7F461">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4.2.1 形状</w:t>
      </w:r>
    </w:p>
    <w:p w14:paraId="02C9B24D">
      <w:pPr>
        <w:pStyle w:val="12"/>
        <w:keepNext w:val="0"/>
        <w:keepLines w:val="0"/>
        <w:pageBreakBefore w:val="0"/>
        <w:kinsoku/>
        <w:wordWrap/>
        <w:overflowPunct/>
        <w:topLinePunct w:val="0"/>
        <w:bidi w:val="0"/>
        <w:adjustRightInd/>
        <w:snapToGrid/>
        <w:spacing w:after="0" w:afterLines="0" w:line="240" w:lineRule="auto"/>
        <w:textAlignment w:val="auto"/>
        <w:rPr>
          <w:rFonts w:hint="eastAsia"/>
          <w:color w:val="000000" w:themeColor="text1"/>
          <w:sz w:val="21"/>
          <w:szCs w:val="21"/>
          <w:highlight w:val="none"/>
          <w:lang w:val="en-US" w:eastAsia="zh-CN"/>
          <w14:textFill>
            <w14:solidFill>
              <w14:schemeClr w14:val="tx1"/>
            </w14:solidFill>
          </w14:textFill>
        </w:rPr>
      </w:pPr>
      <w:r>
        <w:rPr>
          <w:color w:val="000000" w:themeColor="text1"/>
          <w:sz w:val="21"/>
          <w:szCs w:val="21"/>
          <w:highlight w:val="none"/>
          <w14:textFill>
            <w14:solidFill>
              <w14:schemeClr w14:val="tx1"/>
            </w14:solidFill>
          </w14:textFill>
        </w:rPr>
        <w:t>常剥成数瓣，基部相连，有的呈不规则的片状</w:t>
      </w:r>
      <w:r>
        <w:rPr>
          <w:rFonts w:hint="eastAsia"/>
          <w:color w:val="000000" w:themeColor="text1"/>
          <w:sz w:val="21"/>
          <w:szCs w:val="21"/>
          <w:highlight w:val="none"/>
          <w:lang w:eastAsia="zh-CN"/>
          <w14:textFill>
            <w14:solidFill>
              <w14:schemeClr w14:val="tx1"/>
            </w14:solidFill>
          </w14:textFill>
        </w:rPr>
        <w:t>。</w:t>
      </w:r>
    </w:p>
    <w:p w14:paraId="0AF27279">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4.2.2 大小</w:t>
      </w:r>
    </w:p>
    <w:p w14:paraId="205EC09A">
      <w:pPr>
        <w:pStyle w:val="12"/>
        <w:keepNext w:val="0"/>
        <w:keepLines w:val="0"/>
        <w:pageBreakBefore w:val="0"/>
        <w:kinsoku/>
        <w:wordWrap/>
        <w:overflowPunct/>
        <w:topLinePunct w:val="0"/>
        <w:bidi w:val="0"/>
        <w:adjustRightInd/>
        <w:snapToGrid/>
        <w:spacing w:after="0" w:afterLines="0" w:line="240" w:lineRule="auto"/>
        <w:textAlignment w:val="auto"/>
        <w:rPr>
          <w:rFonts w:hint="default"/>
          <w:color w:val="000000" w:themeColor="text1"/>
          <w:sz w:val="21"/>
          <w:szCs w:val="21"/>
          <w:highlight w:val="none"/>
          <w:lang w:val="en-US" w:eastAsia="zh-CN"/>
          <w14:textFill>
            <w14:solidFill>
              <w14:schemeClr w14:val="tx1"/>
            </w14:solidFill>
          </w14:textFill>
        </w:rPr>
      </w:pPr>
      <w:r>
        <w:rPr>
          <w:rFonts w:hint="eastAsia"/>
          <w:color w:val="000000" w:themeColor="text1"/>
          <w:sz w:val="21"/>
          <w:szCs w:val="21"/>
          <w:highlight w:val="none"/>
          <w:lang w:val="en-US" w:eastAsia="zh-CN"/>
          <w14:textFill>
            <w14:solidFill>
              <w14:schemeClr w14:val="tx1"/>
            </w14:solidFill>
          </w14:textFill>
        </w:rPr>
        <w:t>广陈皮选货和精品药材常3瓣相连，形状整齐，厚度均匀，</w:t>
      </w:r>
      <w:r>
        <w:rPr>
          <w:color w:val="000000" w:themeColor="text1"/>
          <w:sz w:val="21"/>
          <w:szCs w:val="21"/>
          <w:highlight w:val="none"/>
          <w14:textFill>
            <w14:solidFill>
              <w14:schemeClr w14:val="tx1"/>
            </w14:solidFill>
          </w14:textFill>
        </w:rPr>
        <w:t>厚1mm</w:t>
      </w: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陈皮统货</w:t>
      </w:r>
      <w:r>
        <w:rPr>
          <w:color w:val="000000" w:themeColor="text1"/>
          <w:sz w:val="21"/>
          <w:szCs w:val="21"/>
          <w:highlight w:val="none"/>
          <w14:textFill>
            <w14:solidFill>
              <w14:schemeClr w14:val="tx1"/>
            </w14:solidFill>
          </w14:textFill>
        </w:rPr>
        <w:t>厚1～4mm</w:t>
      </w:r>
      <w:r>
        <w:rPr>
          <w:rFonts w:hint="eastAsia"/>
          <w:color w:val="000000" w:themeColor="text1"/>
          <w:sz w:val="21"/>
          <w:szCs w:val="21"/>
          <w:highlight w:val="none"/>
          <w:lang w:eastAsia="zh-CN"/>
          <w14:textFill>
            <w14:solidFill>
              <w14:schemeClr w14:val="tx1"/>
            </w14:solidFill>
          </w14:textFill>
        </w:rPr>
        <w:t>，</w:t>
      </w:r>
      <w:r>
        <w:rPr>
          <w:rFonts w:hint="eastAsia"/>
          <w:color w:val="000000" w:themeColor="text1"/>
          <w:sz w:val="21"/>
          <w:szCs w:val="21"/>
          <w:highlight w:val="none"/>
          <w:lang w:val="en-US" w:eastAsia="zh-CN"/>
          <w14:textFill>
            <w14:solidFill>
              <w14:schemeClr w14:val="tx1"/>
            </w14:solidFill>
          </w14:textFill>
        </w:rPr>
        <w:t>剖成三至四瓣。</w:t>
      </w:r>
    </w:p>
    <w:p w14:paraId="2EF9BD95">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4.2.3 表面</w:t>
      </w:r>
    </w:p>
    <w:p w14:paraId="0385339C">
      <w:pPr>
        <w:pStyle w:val="12"/>
        <w:keepNext w:val="0"/>
        <w:keepLines w:val="0"/>
        <w:pageBreakBefore w:val="0"/>
        <w:kinsoku/>
        <w:wordWrap/>
        <w:overflowPunct/>
        <w:topLinePunct w:val="0"/>
        <w:bidi w:val="0"/>
        <w:adjustRightInd/>
        <w:snapToGrid/>
        <w:spacing w:after="0" w:afterLines="0" w:line="240" w:lineRule="auto"/>
        <w:textAlignment w:val="auto"/>
        <w:rPr>
          <w:rFonts w:hint="eastAsia"/>
          <w:color w:val="000000" w:themeColor="text1"/>
          <w:sz w:val="21"/>
          <w:szCs w:val="21"/>
          <w:highlight w:val="none"/>
          <w:lang w:val="en-US" w:eastAsia="zh-CN"/>
          <w14:textFill>
            <w14:solidFill>
              <w14:schemeClr w14:val="tx1"/>
            </w14:solidFill>
          </w14:textFill>
        </w:rPr>
      </w:pPr>
      <w:r>
        <w:rPr>
          <w:color w:val="000000" w:themeColor="text1"/>
          <w:sz w:val="21"/>
          <w:szCs w:val="21"/>
          <w:highlight w:val="none"/>
          <w14:textFill>
            <w14:solidFill>
              <w14:schemeClr w14:val="tx1"/>
            </w14:solidFill>
          </w14:textFill>
        </w:rPr>
        <w:t>外表面橙红色或红棕色，有细皱纹和凹下的点状油室；内表面浅黄白色，粗糙，附黄白色或黄棕色筋络状维管束。</w:t>
      </w:r>
    </w:p>
    <w:p w14:paraId="28F3E0CD">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4.2.4 质地</w:t>
      </w:r>
    </w:p>
    <w:p w14:paraId="420D4A27">
      <w:pPr>
        <w:pStyle w:val="12"/>
        <w:keepNext w:val="0"/>
        <w:keepLines w:val="0"/>
        <w:pageBreakBefore w:val="0"/>
        <w:kinsoku/>
        <w:wordWrap/>
        <w:overflowPunct/>
        <w:topLinePunct w:val="0"/>
        <w:bidi w:val="0"/>
        <w:adjustRightInd/>
        <w:snapToGrid/>
        <w:spacing w:after="0" w:afterLines="0" w:line="240" w:lineRule="auto"/>
        <w:textAlignment w:val="auto"/>
        <w:rPr>
          <w:rFonts w:hint="default"/>
          <w:color w:val="000000" w:themeColor="text1"/>
          <w:sz w:val="21"/>
          <w:szCs w:val="21"/>
          <w:highlight w:val="none"/>
          <w:lang w:val="en-US" w:eastAsia="zh-CN"/>
          <w14:textFill>
            <w14:solidFill>
              <w14:schemeClr w14:val="tx1"/>
            </w14:solidFill>
          </w14:textFill>
        </w:rPr>
      </w:pPr>
      <w:r>
        <w:rPr>
          <w:color w:val="000000" w:themeColor="text1"/>
          <w:sz w:val="21"/>
          <w:szCs w:val="21"/>
          <w:highlight w:val="none"/>
          <w14:textFill>
            <w14:solidFill>
              <w14:schemeClr w14:val="tx1"/>
            </w14:solidFill>
          </w14:textFill>
        </w:rPr>
        <w:t>质稍硬而脆</w:t>
      </w:r>
      <w:r>
        <w:rPr>
          <w:rFonts w:hint="eastAsia"/>
          <w:color w:val="000000" w:themeColor="text1"/>
          <w:sz w:val="21"/>
          <w:szCs w:val="21"/>
          <w:highlight w:val="none"/>
          <w:lang w:eastAsia="zh-CN"/>
          <w14:textFill>
            <w14:solidFill>
              <w14:schemeClr w14:val="tx1"/>
            </w14:solidFill>
          </w14:textFill>
        </w:rPr>
        <w:t>。</w:t>
      </w:r>
    </w:p>
    <w:p w14:paraId="6247E831">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4.2.5 气味</w:t>
      </w:r>
    </w:p>
    <w:p w14:paraId="70FB82C7">
      <w:pPr>
        <w:pStyle w:val="12"/>
        <w:keepNext w:val="0"/>
        <w:keepLines w:val="0"/>
        <w:pageBreakBefore w:val="0"/>
        <w:kinsoku/>
        <w:wordWrap/>
        <w:overflowPunct/>
        <w:topLinePunct w:val="0"/>
        <w:bidi w:val="0"/>
        <w:adjustRightInd/>
        <w:snapToGrid/>
        <w:spacing w:after="0" w:afterLines="0" w:line="240" w:lineRule="auto"/>
        <w:textAlignment w:val="auto"/>
        <w:rPr>
          <w:rFonts w:hint="eastAsia"/>
          <w:color w:val="000000" w:themeColor="text1"/>
          <w:sz w:val="21"/>
          <w:szCs w:val="21"/>
          <w:highlight w:val="none"/>
          <w:lang w:val="en-US" w:eastAsia="zh-CN"/>
          <w14:textFill>
            <w14:solidFill>
              <w14:schemeClr w14:val="tx1"/>
            </w14:solidFill>
          </w14:textFill>
        </w:rPr>
      </w:pPr>
      <w:r>
        <w:rPr>
          <w:color w:val="000000" w:themeColor="text1"/>
          <w:sz w:val="21"/>
          <w:szCs w:val="21"/>
          <w:highlight w:val="none"/>
          <w14:textFill>
            <w14:solidFill>
              <w14:schemeClr w14:val="tx1"/>
            </w14:solidFill>
          </w14:textFill>
        </w:rPr>
        <w:t>气香，味辛、苦</w:t>
      </w:r>
      <w:r>
        <w:rPr>
          <w:rFonts w:hint="eastAsia"/>
          <w:color w:val="000000" w:themeColor="text1"/>
          <w:sz w:val="21"/>
          <w:szCs w:val="21"/>
          <w:highlight w:val="none"/>
          <w:lang w:eastAsia="zh-CN"/>
          <w14:textFill>
            <w14:solidFill>
              <w14:schemeClr w14:val="tx1"/>
            </w14:solidFill>
          </w14:textFill>
        </w:rPr>
        <w:t>。</w:t>
      </w:r>
    </w:p>
    <w:p w14:paraId="4BE3963F">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4.3 鉴别</w:t>
      </w:r>
    </w:p>
    <w:p w14:paraId="5012BB12">
      <w:pPr>
        <w:pStyle w:val="8"/>
        <w:keepNext w:val="0"/>
        <w:keepLines w:val="0"/>
        <w:pageBreakBefore w:val="0"/>
        <w:widowControl/>
        <w:suppressLineNumbers w:val="0"/>
        <w:kinsoku/>
        <w:wordWrap/>
        <w:overflowPunct/>
        <w:topLinePunct w:val="0"/>
        <w:bidi w:val="0"/>
        <w:adjustRightInd/>
        <w:snapToGrid/>
        <w:spacing w:before="157" w:beforeLines="50" w:after="157" w:afterLines="50" w:line="240" w:lineRule="auto"/>
        <w:jc w:val="left"/>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4.3.1 显微鉴别</w:t>
      </w:r>
    </w:p>
    <w:p w14:paraId="45721869">
      <w:pPr>
        <w:pStyle w:val="8"/>
        <w:keepNext w:val="0"/>
        <w:keepLines w:val="0"/>
        <w:pageBreakBefore w:val="0"/>
        <w:widowControl/>
        <w:suppressLineNumbers w:val="0"/>
        <w:kinsoku/>
        <w:wordWrap/>
        <w:overflowPunct/>
        <w:topLinePunct w:val="0"/>
        <w:bidi w:val="0"/>
        <w:adjustRightInd/>
        <w:snapToGrid/>
        <w:spacing w:line="240" w:lineRule="auto"/>
        <w:ind w:firstLine="420" w:firstLineChars="200"/>
        <w:jc w:val="left"/>
        <w:textAlignment w:val="auto"/>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本品粉末黄白色至黄棕色。中果皮薄壁组织众多，细胞形状不规则，壁不均匀增厚，有的成连珠状。果皮表皮细胞表面观多角形、类方形或长方形，垂周壁稍厚，气孔类圆形，直径18～26μm，副卫细胞不清晰；侧面观外被角质层，靠外方的径向壁增厚。草酸钙方晶成片存在于中果皮薄壁细胞中，呈多面体形、菱形或双锥形，直径3～34μm，长5～53μm，有的一个细胞内含有由两个多面体构成的平行双晶或3～5个方晶。橙皮苷结晶大多存在于薄壁细胞中，黄色或无色，呈圆形或无定形团块，有的可见放射状条纹。可见螺纹导管、孔纹导管和网纹导管及较小的管胞。</w:t>
      </w:r>
    </w:p>
    <w:p w14:paraId="5A9DF021">
      <w:pPr>
        <w:pStyle w:val="8"/>
        <w:keepNext w:val="0"/>
        <w:keepLines w:val="0"/>
        <w:pageBreakBefore w:val="0"/>
        <w:widowControl/>
        <w:suppressLineNumbers w:val="0"/>
        <w:kinsoku/>
        <w:wordWrap/>
        <w:overflowPunct/>
        <w:topLinePunct w:val="0"/>
        <w:bidi w:val="0"/>
        <w:adjustRightInd/>
        <w:snapToGrid/>
        <w:spacing w:before="157" w:beforeLines="50" w:after="157" w:afterLines="50" w:line="240" w:lineRule="auto"/>
        <w:jc w:val="left"/>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4.3.2 薄层鉴别</w:t>
      </w:r>
    </w:p>
    <w:p w14:paraId="4D10F434">
      <w:pPr>
        <w:pStyle w:val="8"/>
        <w:keepNext w:val="0"/>
        <w:keepLines w:val="0"/>
        <w:pageBreakBefore w:val="0"/>
        <w:widowControl/>
        <w:suppressLineNumbers w:val="0"/>
        <w:kinsoku/>
        <w:wordWrap/>
        <w:overflowPunct/>
        <w:topLinePunct w:val="0"/>
        <w:autoSpaceDE/>
        <w:autoSpaceDN/>
        <w:bidi w:val="0"/>
        <w:adjustRightInd/>
        <w:snapToGrid/>
        <w:spacing w:before="0" w:beforeLines="50" w:after="0" w:afterLines="50" w:line="240" w:lineRule="auto"/>
        <w:jc w:val="left"/>
        <w:textAlignment w:val="auto"/>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 xml:space="preserve">4.3.2.1 </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取本品粉末0.3g，加甲醇10</w:t>
      </w:r>
      <w:r>
        <w:rPr>
          <w:rFonts w:hint="eastAsia" w:cs="宋体"/>
          <w:color w:val="000000" w:themeColor="text1"/>
          <w:kern w:val="0"/>
          <w:sz w:val="21"/>
          <w:szCs w:val="21"/>
          <w:highlight w:val="none"/>
          <w:lang w:val="en-US" w:eastAsia="zh-CN" w:bidi="ar"/>
          <w14:textFill>
            <w14:solidFill>
              <w14:schemeClr w14:val="tx1"/>
            </w14:solidFill>
          </w14:textFill>
        </w:rPr>
        <w:t>ml</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，超声处理20分钟，滤过，取滤液5</w:t>
      </w:r>
      <w:r>
        <w:rPr>
          <w:rFonts w:hint="eastAsia" w:cs="宋体"/>
          <w:color w:val="000000" w:themeColor="text1"/>
          <w:kern w:val="0"/>
          <w:sz w:val="21"/>
          <w:szCs w:val="21"/>
          <w:highlight w:val="none"/>
          <w:lang w:val="en-US" w:eastAsia="zh-CN" w:bidi="ar"/>
          <w14:textFill>
            <w14:solidFill>
              <w14:schemeClr w14:val="tx1"/>
            </w14:solidFill>
          </w14:textFill>
        </w:rPr>
        <w:t>ml</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，浓缩至1</w:t>
      </w:r>
      <w:r>
        <w:rPr>
          <w:rFonts w:hint="eastAsia" w:cs="宋体"/>
          <w:color w:val="000000" w:themeColor="text1"/>
          <w:kern w:val="0"/>
          <w:sz w:val="21"/>
          <w:szCs w:val="21"/>
          <w:highlight w:val="none"/>
          <w:lang w:val="en-US" w:eastAsia="zh-CN" w:bidi="ar"/>
          <w14:textFill>
            <w14:solidFill>
              <w14:schemeClr w14:val="tx1"/>
            </w14:solidFill>
          </w14:textFill>
        </w:rPr>
        <w:t>ml</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，作为供试品溶液。另取橙皮苷对照品，加甲醇制成饱和溶液，作为对照品溶液。照薄层色谱法（</w:t>
      </w:r>
      <w:r>
        <w:rPr>
          <w:rFonts w:hint="eastAsia" w:cs="宋体"/>
          <w:color w:val="000000" w:themeColor="text1"/>
          <w:kern w:val="0"/>
          <w:sz w:val="21"/>
          <w:szCs w:val="21"/>
          <w:highlight w:val="none"/>
          <w:lang w:val="en-US" w:eastAsia="zh-CN" w:bidi="ar"/>
          <w14:textFill>
            <w14:solidFill>
              <w14:schemeClr w14:val="tx1"/>
            </w14:solidFill>
          </w14:textFill>
        </w:rPr>
        <w:t>《中华人民共和国药典》2020年版通则0502</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试验，吸取上述两种溶液各2μl，分别点于同一用0.5%氢氧化钠溶液制备的硅胶G薄层板上，以乙酸乙酯-甲醇-水（100:17:13）为展开剂，展至约3cm，取出，晾干，再以甲苯-乙酸乙酯-甲酸-水（20:10:1:1）的上层溶液为展开剂，展至约8cm，取出，晾干，喷以三氯化铝试液，置紫外光灯（365nm）下检视。供试品色谱中，在与对照品色谱相应的位置上，显相同颜色的荧光斑点。</w:t>
      </w:r>
    </w:p>
    <w:p w14:paraId="6E531805">
      <w:pPr>
        <w:pStyle w:val="8"/>
        <w:keepNext w:val="0"/>
        <w:keepLines w:val="0"/>
        <w:pageBreakBefore w:val="0"/>
        <w:widowControl/>
        <w:suppressLineNumbers w:val="0"/>
        <w:kinsoku/>
        <w:wordWrap/>
        <w:overflowPunct/>
        <w:topLinePunct w:val="0"/>
        <w:autoSpaceDE/>
        <w:autoSpaceDN/>
        <w:bidi w:val="0"/>
        <w:adjustRightInd/>
        <w:snapToGrid/>
        <w:spacing w:before="0" w:beforeLines="50" w:after="0" w:afterLines="50" w:line="240" w:lineRule="auto"/>
        <w:jc w:val="left"/>
        <w:textAlignment w:val="auto"/>
        <w:rPr>
          <w:rFonts w:hint="default"/>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 xml:space="preserve">4.3.2.2 </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取2-甲氨基苯甲酸甲酯对照品，加甲醇制成每1</w:t>
      </w:r>
      <w:r>
        <w:rPr>
          <w:rFonts w:hint="eastAsia" w:cs="宋体"/>
          <w:color w:val="000000" w:themeColor="text1"/>
          <w:kern w:val="0"/>
          <w:sz w:val="21"/>
          <w:szCs w:val="21"/>
          <w:highlight w:val="none"/>
          <w:lang w:val="en-US" w:eastAsia="zh-CN" w:bidi="ar"/>
          <w14:textFill>
            <w14:solidFill>
              <w14:schemeClr w14:val="tx1"/>
            </w14:solidFill>
          </w14:textFill>
        </w:rPr>
        <w:t>ml</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含0.1mg的溶液，作为对照品溶液，再取广陈皮对照提取物，加甲醇超声处理20分钟，制成每1</w:t>
      </w:r>
      <w:r>
        <w:rPr>
          <w:rFonts w:hint="eastAsia" w:cs="宋体"/>
          <w:color w:val="000000" w:themeColor="text1"/>
          <w:kern w:val="0"/>
          <w:sz w:val="21"/>
          <w:szCs w:val="21"/>
          <w:highlight w:val="none"/>
          <w:lang w:val="en-US" w:eastAsia="zh-CN" w:bidi="ar"/>
          <w14:textFill>
            <w14:solidFill>
              <w14:schemeClr w14:val="tx1"/>
            </w14:solidFill>
          </w14:textFill>
        </w:rPr>
        <w:t>ml</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含15mg的溶液，作为对照提取物溶液。照薄层色谱法（</w:t>
      </w:r>
      <w:r>
        <w:rPr>
          <w:rFonts w:hint="eastAsia" w:cs="宋体"/>
          <w:color w:val="000000" w:themeColor="text1"/>
          <w:kern w:val="0"/>
          <w:sz w:val="21"/>
          <w:szCs w:val="21"/>
          <w:highlight w:val="none"/>
          <w:lang w:val="en-US" w:eastAsia="zh-CN" w:bidi="ar"/>
          <w14:textFill>
            <w14:solidFill>
              <w14:schemeClr w14:val="tx1"/>
            </w14:solidFill>
          </w14:textFill>
        </w:rPr>
        <w:t>《中华人民共和国药典》2020年版通则0502</w:t>
      </w:r>
      <w:r>
        <w:rPr>
          <w:rFonts w:hint="eastAsia" w:ascii="宋体" w:hAnsi="宋体" w:eastAsia="宋体" w:cs="宋体"/>
          <w:color w:val="000000" w:themeColor="text1"/>
          <w:kern w:val="0"/>
          <w:sz w:val="21"/>
          <w:szCs w:val="21"/>
          <w:highlight w:val="none"/>
          <w:lang w:val="en-US" w:eastAsia="zh-CN" w:bidi="ar"/>
          <w14:textFill>
            <w14:solidFill>
              <w14:schemeClr w14:val="tx1"/>
            </w14:solidFill>
          </w14:textFill>
        </w:rPr>
        <w:t>）试验，吸取上述两种溶液及供试品溶液各2μl，分别点于同一硅胶G薄层板上，以甲苯-乙酸乙酯-甲醇-水（10:4:2:0.5）10℃以下放置的上层溶液为展开剂，展至约5cm，取出，晾干，再以环己烷为展开剂，展至约8cm，取出，晾干，置紫外光灯（365nm）下检视。供试品色谱中，在与对照提取物色谱和对照品色谱相应的位置上，显相同颜色的荧光斑点（广陈皮）。</w:t>
      </w:r>
    </w:p>
    <w:p w14:paraId="5740A6CC">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4.4 检查</w:t>
      </w:r>
    </w:p>
    <w:p w14:paraId="23167749">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4.4.1 水分</w:t>
      </w:r>
    </w:p>
    <w:p w14:paraId="6FE739C1">
      <w:pPr>
        <w:pStyle w:val="12"/>
        <w:keepNext w:val="0"/>
        <w:keepLines w:val="0"/>
        <w:pageBreakBefore w:val="0"/>
        <w:kinsoku/>
        <w:wordWrap/>
        <w:overflowPunct/>
        <w:topLinePunct w:val="0"/>
        <w:bidi w:val="0"/>
        <w:adjustRightInd/>
        <w:snapToGrid/>
        <w:spacing w:after="0" w:afterLines="0" w:line="240" w:lineRule="auto"/>
        <w:textAlignment w:val="auto"/>
        <w:rPr>
          <w:rFonts w:hint="eastAsia"/>
          <w:color w:val="000000" w:themeColor="text1"/>
          <w:sz w:val="21"/>
          <w:szCs w:val="21"/>
          <w:highlight w:val="none"/>
          <w:lang w:val="en-US" w:eastAsia="zh-CN"/>
          <w14:textFill>
            <w14:solidFill>
              <w14:schemeClr w14:val="tx1"/>
            </w14:solidFill>
          </w14:textFill>
        </w:rPr>
      </w:pPr>
      <w:r>
        <w:rPr>
          <w:color w:val="000000" w:themeColor="text1"/>
          <w:sz w:val="21"/>
          <w:szCs w:val="21"/>
          <w:highlight w:val="none"/>
          <w14:textFill>
            <w14:solidFill>
              <w14:schemeClr w14:val="tx1"/>
            </w14:solidFill>
          </w14:textFill>
        </w:rPr>
        <w:t>不得过13.0%（</w:t>
      </w:r>
      <w:r>
        <w:rPr>
          <w:rFonts w:hint="eastAsia" w:cs="宋体"/>
          <w:bCs/>
          <w:color w:val="000000" w:themeColor="text1"/>
          <w:kern w:val="0"/>
          <w:sz w:val="21"/>
          <w:szCs w:val="21"/>
          <w:highlight w:val="none"/>
          <w:lang w:val="en-US" w:eastAsia="zh-CN" w:bidi="ar-SA"/>
          <w14:textFill>
            <w14:solidFill>
              <w14:schemeClr w14:val="tx1"/>
            </w14:solidFill>
          </w14:textFill>
        </w:rPr>
        <w:t>《中华人民共和国药典》2020年版</w:t>
      </w:r>
      <w:r>
        <w:rPr>
          <w:color w:val="000000" w:themeColor="text1"/>
          <w:sz w:val="21"/>
          <w:szCs w:val="21"/>
          <w:highlight w:val="none"/>
          <w14:textFill>
            <w14:solidFill>
              <w14:schemeClr w14:val="tx1"/>
            </w14:solidFill>
          </w14:textFill>
        </w:rPr>
        <w:t>通则0832第四法）。</w:t>
      </w:r>
    </w:p>
    <w:p w14:paraId="2808B830">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default"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4.4.2 黄曲霉毒素</w:t>
      </w:r>
    </w:p>
    <w:p w14:paraId="0F364029">
      <w:pPr>
        <w:pStyle w:val="3"/>
        <w:keepNext w:val="0"/>
        <w:keepLines w:val="0"/>
        <w:pageBreakBefore w:val="0"/>
        <w:kinsoku/>
        <w:wordWrap/>
        <w:overflowPunct/>
        <w:topLinePunct w:val="0"/>
        <w:bidi w:val="0"/>
        <w:adjustRightInd/>
        <w:snapToGrid/>
        <w:spacing w:before="0" w:beforeLines="0" w:after="0" w:afterLines="0" w:line="240" w:lineRule="auto"/>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照真菌毒素测定法（</w:t>
      </w:r>
      <w:r>
        <w:rPr>
          <w:rFonts w:hint="eastAsia" w:cs="宋体"/>
          <w:bCs/>
          <w:color w:val="000000" w:themeColor="text1"/>
          <w:kern w:val="0"/>
          <w:sz w:val="21"/>
          <w:szCs w:val="21"/>
          <w:highlight w:val="none"/>
          <w:lang w:val="en-US" w:eastAsia="zh-CN" w:bidi="ar-SA"/>
          <w14:textFill>
            <w14:solidFill>
              <w14:schemeClr w14:val="tx1"/>
            </w14:solidFill>
          </w14:textFill>
        </w:rPr>
        <w:t>《中华人民共和国药典》2020年版</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通则2351）测定。取本品粉末（过二号筛）约5g，精密称定，加入氯化钠3g，照黄曲霉毒素测定法项下供试品的制备方法测定，计算，即得。本品每1000g含黄曲霉毒素B1不得过5μg，黄曲霉毒素G2、黄曲霉毒素G1、黄曲霉毒素B2和黄曲霉毒素B1的总量不得过10μg。</w:t>
      </w:r>
    </w:p>
    <w:p w14:paraId="08C3A08C">
      <w:pPr>
        <w:pStyle w:val="4"/>
        <w:keepNext w:val="0"/>
        <w:keepLines w:val="0"/>
        <w:pageBreakBefore w:val="0"/>
        <w:kinsoku/>
        <w:wordWrap/>
        <w:overflowPunct/>
        <w:topLinePunct w:val="0"/>
        <w:bidi w:val="0"/>
        <w:adjustRightInd/>
        <w:snapToGrid/>
        <w:spacing w:before="157" w:beforeLines="50" w:beforeAutospacing="0" w:after="157" w:afterLines="50" w:afterAutospacing="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cs="黑体"/>
          <w:bCs/>
          <w:color w:val="000000" w:themeColor="text1"/>
          <w:sz w:val="21"/>
          <w:szCs w:val="21"/>
          <w:highlight w:val="none"/>
          <w:lang w:val="en-US" w:eastAsia="zh-CN"/>
          <w14:textFill>
            <w14:solidFill>
              <w14:schemeClr w14:val="tx1"/>
            </w14:solidFill>
          </w14:textFill>
        </w:rPr>
        <w:t xml:space="preserve">4.4.3 </w:t>
      </w:r>
      <w:r>
        <w:rPr>
          <w:rFonts w:hint="eastAsia" w:ascii="黑体" w:hAnsi="黑体" w:eastAsia="黑体"/>
          <w:bCs/>
          <w:color w:val="000000" w:themeColor="text1"/>
          <w:sz w:val="21"/>
          <w:szCs w:val="21"/>
          <w:highlight w:val="none"/>
          <w:lang w:val="en-US" w:eastAsia="zh-CN"/>
          <w14:textFill>
            <w14:solidFill>
              <w14:schemeClr w14:val="tx1"/>
            </w14:solidFill>
          </w14:textFill>
        </w:rPr>
        <w:t>二氧化硫残留</w:t>
      </w:r>
    </w:p>
    <w:p w14:paraId="3183862A">
      <w:pPr>
        <w:pStyle w:val="4"/>
        <w:keepNext w:val="0"/>
        <w:keepLines w:val="0"/>
        <w:pageBreakBefore w:val="0"/>
        <w:kinsoku/>
        <w:wordWrap/>
        <w:overflowPunct/>
        <w:topLinePunct w:val="0"/>
        <w:bidi w:val="0"/>
        <w:adjustRightInd/>
        <w:snapToGrid/>
        <w:spacing w:beforeAutospacing="0" w:afterAutospacing="0" w:line="240" w:lineRule="auto"/>
        <w:ind w:firstLine="420" w:firstLineChars="200"/>
        <w:jc w:val="both"/>
        <w:textAlignment w:val="auto"/>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kern w:val="0"/>
          <w:sz w:val="21"/>
          <w:szCs w:val="21"/>
          <w:highlight w:val="none"/>
          <w:lang w:val="en-US" w:eastAsia="zh-CN" w:bidi="ar-SA"/>
          <w14:textFill>
            <w14:solidFill>
              <w14:schemeClr w14:val="tx1"/>
            </w14:solidFill>
          </w14:textFill>
        </w:rPr>
        <w:t>照二氧化硫残留量测定法（</w:t>
      </w:r>
      <w:r>
        <w:rPr>
          <w:rFonts w:hint="eastAsia" w:ascii="宋体" w:hAnsi="宋体" w:cs="宋体"/>
          <w:bCs/>
          <w:color w:val="000000" w:themeColor="text1"/>
          <w:kern w:val="0"/>
          <w:sz w:val="21"/>
          <w:szCs w:val="21"/>
          <w:highlight w:val="none"/>
          <w:lang w:val="en-US" w:eastAsia="zh-CN" w:bidi="ar-SA"/>
          <w14:textFill>
            <w14:solidFill>
              <w14:schemeClr w14:val="tx1"/>
            </w14:solidFill>
          </w14:textFill>
        </w:rPr>
        <w:t>《中华人民共和国药典》2020年版</w:t>
      </w:r>
      <w:r>
        <w:rPr>
          <w:rFonts w:hint="eastAsia" w:ascii="宋体" w:hAnsi="宋体" w:eastAsia="宋体" w:cs="宋体"/>
          <w:bCs/>
          <w:color w:val="000000" w:themeColor="text1"/>
          <w:kern w:val="0"/>
          <w:sz w:val="21"/>
          <w:szCs w:val="21"/>
          <w:highlight w:val="none"/>
          <w:lang w:val="en-US" w:eastAsia="zh-CN" w:bidi="ar-SA"/>
          <w14:textFill>
            <w14:solidFill>
              <w14:schemeClr w14:val="tx1"/>
            </w14:solidFill>
          </w14:textFill>
        </w:rPr>
        <w:t>通则2331）测定，</w:t>
      </w:r>
      <w:r>
        <w:rPr>
          <w:rFonts w:hint="eastAsia" w:ascii="宋体" w:hAnsi="宋体" w:cs="宋体"/>
          <w:bCs/>
          <w:color w:val="000000" w:themeColor="text1"/>
          <w:sz w:val="21"/>
          <w:szCs w:val="21"/>
          <w:highlight w:val="none"/>
          <w:lang w:val="en-US" w:eastAsia="zh-CN"/>
          <w14:textFill>
            <w14:solidFill>
              <w14:schemeClr w14:val="tx1"/>
            </w14:solidFill>
          </w14:textFill>
        </w:rPr>
        <w:t>不得过150mg/kg</w:t>
      </w:r>
      <w:r>
        <w:rPr>
          <w:rFonts w:hint="eastAsia" w:ascii="黑体" w:hAnsi="黑体" w:eastAsia="黑体"/>
          <w:bCs/>
          <w:color w:val="000000" w:themeColor="text1"/>
          <w:sz w:val="21"/>
          <w:szCs w:val="21"/>
          <w:highlight w:val="none"/>
          <w:lang w:val="en-US" w:eastAsia="zh-CN"/>
          <w14:textFill>
            <w14:solidFill>
              <w14:schemeClr w14:val="tx1"/>
            </w14:solidFill>
          </w14:textFill>
        </w:rPr>
        <w:t>。</w:t>
      </w:r>
    </w:p>
    <w:p w14:paraId="3D5ED26D">
      <w:pPr>
        <w:pStyle w:val="4"/>
        <w:keepNext w:val="0"/>
        <w:keepLines w:val="0"/>
        <w:pageBreakBefore w:val="0"/>
        <w:kinsoku/>
        <w:wordWrap/>
        <w:overflowPunct/>
        <w:topLinePunct w:val="0"/>
        <w:bidi w:val="0"/>
        <w:adjustRightInd/>
        <w:snapToGrid/>
        <w:spacing w:before="157" w:beforeLines="50" w:beforeAutospacing="0" w:after="157" w:afterLines="50" w:afterAutospacing="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4.4.4 重金属残留</w:t>
      </w:r>
    </w:p>
    <w:p w14:paraId="7DBD89DA">
      <w:pPr>
        <w:pStyle w:val="4"/>
        <w:keepNext w:val="0"/>
        <w:keepLines w:val="0"/>
        <w:pageBreakBefore w:val="0"/>
        <w:widowControl w:val="0"/>
        <w:tabs>
          <w:tab w:val="left" w:pos="391"/>
        </w:tabs>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宋体" w:hAnsi="宋体" w:cs="宋体"/>
          <w:bCs/>
          <w:color w:val="000000" w:themeColor="text1"/>
          <w:sz w:val="21"/>
          <w:szCs w:val="21"/>
          <w:highlight w:val="none"/>
          <w:lang w:val="en-US" w:eastAsia="zh-CN"/>
          <w14:textFill>
            <w14:solidFill>
              <w14:schemeClr w14:val="tx1"/>
            </w14:solidFill>
          </w14:textFill>
        </w:rPr>
        <w:tab/>
      </w:r>
      <w:r>
        <w:rPr>
          <w:rFonts w:hint="default" w:ascii="Times New Roman" w:hAnsi="Times New Roman" w:cs="Times New Roman"/>
          <w:bCs/>
          <w:color w:val="000000" w:themeColor="text1"/>
          <w:sz w:val="21"/>
          <w:szCs w:val="21"/>
          <w:highlight w:val="none"/>
          <w:lang w:val="en-US" w:eastAsia="zh-CN"/>
          <w14:textFill>
            <w14:solidFill>
              <w14:schemeClr w14:val="tx1"/>
            </w14:solidFill>
          </w14:textFill>
        </w:rPr>
        <w:t>照</w:t>
      </w:r>
      <w:r>
        <w:rPr>
          <w:rFonts w:hint="default" w:ascii="Times New Roman" w:hAnsi="Times New Roman" w:cs="Times New Roman" w:eastAsiaTheme="minorEastAsia"/>
          <w:bCs/>
          <w:color w:val="000000" w:themeColor="text1"/>
          <w:kern w:val="0"/>
          <w:sz w:val="21"/>
          <w:szCs w:val="21"/>
          <w:highlight w:val="none"/>
          <w:lang w:val="en-US" w:eastAsia="zh-CN" w:bidi="ar-SA"/>
          <w14:textFill>
            <w14:solidFill>
              <w14:schemeClr w14:val="tx1"/>
            </w14:solidFill>
          </w14:textFill>
        </w:rPr>
        <w:t>《中华人民共和国</w:t>
      </w:r>
      <w:r>
        <w:rPr>
          <w:rFonts w:hint="eastAsia" w:ascii="宋体" w:hAnsi="宋体" w:eastAsia="宋体" w:cs="宋体"/>
          <w:bCs/>
          <w:color w:val="000000" w:themeColor="text1"/>
          <w:kern w:val="0"/>
          <w:sz w:val="21"/>
          <w:szCs w:val="21"/>
          <w:highlight w:val="none"/>
          <w:lang w:val="en-US" w:eastAsia="zh-CN" w:bidi="ar-SA"/>
          <w14:textFill>
            <w14:solidFill>
              <w14:schemeClr w14:val="tx1"/>
            </w14:solidFill>
          </w14:textFill>
        </w:rPr>
        <w:t>药典》</w:t>
      </w:r>
      <w:r>
        <w:rPr>
          <w:rFonts w:hint="eastAsia" w:ascii="宋体" w:hAnsi="宋体" w:eastAsia="宋体" w:cs="宋体"/>
          <w:bCs/>
          <w:color w:val="000000" w:themeColor="text1"/>
          <w:sz w:val="21"/>
          <w:szCs w:val="21"/>
          <w:highlight w:val="none"/>
          <w14:textFill>
            <w14:solidFill>
              <w14:schemeClr w14:val="tx1"/>
            </w14:solidFill>
          </w14:textFill>
        </w:rPr>
        <w:t>2020版</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通则2321原子吸收分光光度法或电感耦合等离子体质谱法测定，铅不得过10mg/kg；镉不得过1mg/kg；砷不得过5mg/kg；汞不</w:t>
      </w:r>
      <w:r>
        <w:rPr>
          <w:rFonts w:hint="eastAsia" w:ascii="宋体" w:hAnsi="宋体" w:cs="宋体"/>
          <w:bCs/>
          <w:color w:val="000000" w:themeColor="text1"/>
          <w:sz w:val="21"/>
          <w:szCs w:val="21"/>
          <w:highlight w:val="none"/>
          <w:lang w:val="en-US" w:eastAsia="zh-CN"/>
          <w14:textFill>
            <w14:solidFill>
              <w14:schemeClr w14:val="tx1"/>
            </w14:solidFill>
          </w14:textFill>
        </w:rPr>
        <w:t>得过1mg/kg；铜不得过20mg/kg。</w:t>
      </w:r>
    </w:p>
    <w:p w14:paraId="0AD90CED">
      <w:pPr>
        <w:pStyle w:val="4"/>
        <w:keepNext w:val="0"/>
        <w:keepLines w:val="0"/>
        <w:pageBreakBefore w:val="0"/>
        <w:kinsoku/>
        <w:wordWrap/>
        <w:overflowPunct/>
        <w:topLinePunct w:val="0"/>
        <w:bidi w:val="0"/>
        <w:adjustRightInd/>
        <w:snapToGrid/>
        <w:spacing w:before="157" w:beforeLines="50" w:beforeAutospacing="0" w:after="157" w:afterLines="50" w:afterAutospacing="0" w:line="240" w:lineRule="auto"/>
        <w:jc w:val="both"/>
        <w:rPr>
          <w:rFonts w:hint="default" w:ascii="黑体" w:hAnsi="黑体" w:eastAsia="黑体" w:cs="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4.4.5 农药残留</w:t>
      </w:r>
    </w:p>
    <w:p w14:paraId="7FB6B97F">
      <w:pPr>
        <w:pStyle w:val="4"/>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hint="default"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cs="宋体"/>
          <w:bCs/>
          <w:color w:val="000000"/>
          <w:sz w:val="21"/>
          <w:szCs w:val="21"/>
        </w:rPr>
        <w:t>《中华人民共和国药典》通则0212中列出的禁用农药不得检出</w:t>
      </w:r>
      <w:r>
        <w:rPr>
          <w:rFonts w:hint="eastAsia" w:ascii="宋体" w:hAnsi="宋体" w:cs="宋体"/>
          <w:bCs/>
          <w:color w:val="000000" w:themeColor="text1"/>
          <w:sz w:val="21"/>
          <w:szCs w:val="21"/>
          <w:highlight w:val="none"/>
          <w:lang w:val="en-US" w:eastAsia="zh-CN"/>
          <w14:textFill>
            <w14:solidFill>
              <w14:schemeClr w14:val="tx1"/>
            </w14:solidFill>
          </w14:textFill>
        </w:rPr>
        <w:t>。</w:t>
      </w:r>
    </w:p>
    <w:p w14:paraId="1791DDDA">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4.5 含量</w:t>
      </w:r>
    </w:p>
    <w:p w14:paraId="365C17FF">
      <w:pPr>
        <w:pStyle w:val="12"/>
        <w:keepNext w:val="0"/>
        <w:keepLines w:val="0"/>
        <w:pageBreakBefore w:val="0"/>
        <w:kinsoku/>
        <w:wordWrap/>
        <w:overflowPunct/>
        <w:topLinePunct w:val="0"/>
        <w:bidi w:val="0"/>
        <w:adjustRightInd/>
        <w:snapToGrid/>
        <w:spacing w:after="0" w:afterLines="0" w:line="240" w:lineRule="auto"/>
        <w:textAlignment w:val="auto"/>
        <w:rPr>
          <w:rFonts w:hint="eastAsia"/>
          <w:color w:val="000000" w:themeColor="text1"/>
          <w:sz w:val="21"/>
          <w:szCs w:val="21"/>
          <w:highlight w:val="none"/>
          <w:lang w:val="en-US" w:eastAsia="zh-CN"/>
          <w14:textFill>
            <w14:solidFill>
              <w14:schemeClr w14:val="tx1"/>
            </w14:solidFill>
          </w14:textFill>
        </w:rPr>
      </w:pPr>
      <w:r>
        <w:rPr>
          <w:color w:val="000000" w:themeColor="text1"/>
          <w:sz w:val="21"/>
          <w:szCs w:val="21"/>
          <w:highlight w:val="none"/>
          <w14:textFill>
            <w14:solidFill>
              <w14:schemeClr w14:val="tx1"/>
            </w14:solidFill>
          </w14:textFill>
        </w:rPr>
        <w:t>按</w:t>
      </w:r>
      <w:r>
        <w:rPr>
          <w:rFonts w:hint="eastAsia"/>
          <w:color w:val="000000" w:themeColor="text1"/>
          <w:sz w:val="21"/>
          <w:szCs w:val="21"/>
          <w:highlight w:val="none"/>
          <w:lang w:val="en-US" w:eastAsia="zh-CN"/>
          <w14:textFill>
            <w14:solidFill>
              <w14:schemeClr w14:val="tx1"/>
            </w14:solidFill>
          </w14:textFill>
        </w:rPr>
        <w:t>陈皮</w:t>
      </w:r>
      <w:r>
        <w:rPr>
          <w:color w:val="000000" w:themeColor="text1"/>
          <w:sz w:val="21"/>
          <w:szCs w:val="21"/>
          <w:highlight w:val="none"/>
          <w14:textFill>
            <w14:solidFill>
              <w14:schemeClr w14:val="tx1"/>
            </w14:solidFill>
          </w14:textFill>
        </w:rPr>
        <w:t>干燥品计算，含橙皮苷（C</w:t>
      </w:r>
      <w:r>
        <w:rPr>
          <w:color w:val="000000" w:themeColor="text1"/>
          <w:sz w:val="21"/>
          <w:szCs w:val="21"/>
          <w:highlight w:val="none"/>
          <w:vertAlign w:val="subscript"/>
          <w14:textFill>
            <w14:solidFill>
              <w14:schemeClr w14:val="tx1"/>
            </w14:solidFill>
          </w14:textFill>
        </w:rPr>
        <w:t>28</w:t>
      </w:r>
      <w:r>
        <w:rPr>
          <w:color w:val="000000" w:themeColor="text1"/>
          <w:sz w:val="21"/>
          <w:szCs w:val="21"/>
          <w:highlight w:val="none"/>
          <w14:textFill>
            <w14:solidFill>
              <w14:schemeClr w14:val="tx1"/>
            </w14:solidFill>
          </w14:textFill>
        </w:rPr>
        <w:t>H</w:t>
      </w:r>
      <w:r>
        <w:rPr>
          <w:color w:val="000000" w:themeColor="text1"/>
          <w:sz w:val="21"/>
          <w:szCs w:val="21"/>
          <w:highlight w:val="none"/>
          <w:vertAlign w:val="subscript"/>
          <w14:textFill>
            <w14:solidFill>
              <w14:schemeClr w14:val="tx1"/>
            </w14:solidFill>
          </w14:textFill>
        </w:rPr>
        <w:t>34</w:t>
      </w:r>
      <w:r>
        <w:rPr>
          <w:color w:val="000000" w:themeColor="text1"/>
          <w:sz w:val="21"/>
          <w:szCs w:val="21"/>
          <w:highlight w:val="none"/>
          <w14:textFill>
            <w14:solidFill>
              <w14:schemeClr w14:val="tx1"/>
            </w14:solidFill>
          </w14:textFill>
        </w:rPr>
        <w:t>O</w:t>
      </w:r>
      <w:r>
        <w:rPr>
          <w:color w:val="000000" w:themeColor="text1"/>
          <w:sz w:val="21"/>
          <w:szCs w:val="21"/>
          <w:highlight w:val="none"/>
          <w:vertAlign w:val="subscript"/>
          <w14:textFill>
            <w14:solidFill>
              <w14:schemeClr w14:val="tx1"/>
            </w14:solidFill>
          </w14:textFill>
        </w:rPr>
        <w:t>15</w:t>
      </w:r>
      <w:r>
        <w:rPr>
          <w:color w:val="000000" w:themeColor="text1"/>
          <w:sz w:val="21"/>
          <w:szCs w:val="21"/>
          <w:highlight w:val="none"/>
          <w14:textFill>
            <w14:solidFill>
              <w14:schemeClr w14:val="tx1"/>
            </w14:solidFill>
          </w14:textFill>
        </w:rPr>
        <w:t>）不得少于2.0%；含川陈皮素（C</w:t>
      </w:r>
      <w:r>
        <w:rPr>
          <w:color w:val="000000" w:themeColor="text1"/>
          <w:sz w:val="21"/>
          <w:szCs w:val="21"/>
          <w:highlight w:val="none"/>
          <w:vertAlign w:val="subscript"/>
          <w14:textFill>
            <w14:solidFill>
              <w14:schemeClr w14:val="tx1"/>
            </w14:solidFill>
          </w14:textFill>
        </w:rPr>
        <w:t>21</w:t>
      </w:r>
      <w:r>
        <w:rPr>
          <w:color w:val="000000" w:themeColor="text1"/>
          <w:sz w:val="21"/>
          <w:szCs w:val="21"/>
          <w:highlight w:val="none"/>
          <w14:textFill>
            <w14:solidFill>
              <w14:schemeClr w14:val="tx1"/>
            </w14:solidFill>
          </w14:textFill>
        </w:rPr>
        <w:t>H</w:t>
      </w:r>
      <w:r>
        <w:rPr>
          <w:color w:val="000000" w:themeColor="text1"/>
          <w:sz w:val="21"/>
          <w:szCs w:val="21"/>
          <w:highlight w:val="none"/>
          <w:vertAlign w:val="subscript"/>
          <w14:textFill>
            <w14:solidFill>
              <w14:schemeClr w14:val="tx1"/>
            </w14:solidFill>
          </w14:textFill>
        </w:rPr>
        <w:t>22</w:t>
      </w:r>
      <w:r>
        <w:rPr>
          <w:color w:val="000000" w:themeColor="text1"/>
          <w:sz w:val="21"/>
          <w:szCs w:val="21"/>
          <w:highlight w:val="none"/>
          <w14:textFill>
            <w14:solidFill>
              <w14:schemeClr w14:val="tx1"/>
            </w14:solidFill>
          </w14:textFill>
        </w:rPr>
        <w:t>O</w:t>
      </w:r>
      <w:r>
        <w:rPr>
          <w:color w:val="000000" w:themeColor="text1"/>
          <w:sz w:val="21"/>
          <w:szCs w:val="21"/>
          <w:highlight w:val="none"/>
          <w:vertAlign w:val="subscript"/>
          <w14:textFill>
            <w14:solidFill>
              <w14:schemeClr w14:val="tx1"/>
            </w14:solidFill>
          </w14:textFill>
        </w:rPr>
        <w:t>8</w:t>
      </w:r>
      <w:r>
        <w:rPr>
          <w:color w:val="000000" w:themeColor="text1"/>
          <w:sz w:val="21"/>
          <w:szCs w:val="21"/>
          <w:highlight w:val="none"/>
          <w14:textFill>
            <w14:solidFill>
              <w14:schemeClr w14:val="tx1"/>
            </w14:solidFill>
          </w14:textFill>
        </w:rPr>
        <w:t>）和橘皮素（C</w:t>
      </w:r>
      <w:r>
        <w:rPr>
          <w:color w:val="000000" w:themeColor="text1"/>
          <w:sz w:val="21"/>
          <w:szCs w:val="21"/>
          <w:highlight w:val="none"/>
          <w:vertAlign w:val="subscript"/>
          <w14:textFill>
            <w14:solidFill>
              <w14:schemeClr w14:val="tx1"/>
            </w14:solidFill>
          </w14:textFill>
        </w:rPr>
        <w:t>20</w:t>
      </w:r>
      <w:r>
        <w:rPr>
          <w:color w:val="000000" w:themeColor="text1"/>
          <w:sz w:val="21"/>
          <w:szCs w:val="21"/>
          <w:highlight w:val="none"/>
          <w14:textFill>
            <w14:solidFill>
              <w14:schemeClr w14:val="tx1"/>
            </w14:solidFill>
          </w14:textFill>
        </w:rPr>
        <w:t>H</w:t>
      </w:r>
      <w:r>
        <w:rPr>
          <w:color w:val="000000" w:themeColor="text1"/>
          <w:sz w:val="21"/>
          <w:szCs w:val="21"/>
          <w:highlight w:val="none"/>
          <w:vertAlign w:val="subscript"/>
          <w14:textFill>
            <w14:solidFill>
              <w14:schemeClr w14:val="tx1"/>
            </w14:solidFill>
          </w14:textFill>
        </w:rPr>
        <w:t>20</w:t>
      </w:r>
      <w:r>
        <w:rPr>
          <w:color w:val="000000" w:themeColor="text1"/>
          <w:sz w:val="21"/>
          <w:szCs w:val="21"/>
          <w:highlight w:val="none"/>
          <w14:textFill>
            <w14:solidFill>
              <w14:schemeClr w14:val="tx1"/>
            </w14:solidFill>
          </w14:textFill>
        </w:rPr>
        <w:t>O</w:t>
      </w:r>
      <w:r>
        <w:rPr>
          <w:color w:val="000000" w:themeColor="text1"/>
          <w:sz w:val="21"/>
          <w:szCs w:val="21"/>
          <w:highlight w:val="none"/>
          <w:vertAlign w:val="subscript"/>
          <w14:textFill>
            <w14:solidFill>
              <w14:schemeClr w14:val="tx1"/>
            </w14:solidFill>
          </w14:textFill>
        </w:rPr>
        <w:t>7</w:t>
      </w:r>
      <w:r>
        <w:rPr>
          <w:color w:val="000000" w:themeColor="text1"/>
          <w:sz w:val="21"/>
          <w:szCs w:val="21"/>
          <w:highlight w:val="none"/>
          <w14:textFill>
            <w14:solidFill>
              <w14:schemeClr w14:val="tx1"/>
            </w14:solidFill>
          </w14:textFill>
        </w:rPr>
        <w:t>）的总量，不得少于0.42%</w:t>
      </w:r>
      <w:r>
        <w:rPr>
          <w:rFonts w:hint="eastAsia"/>
          <w:color w:val="000000" w:themeColor="text1"/>
          <w:sz w:val="21"/>
          <w:szCs w:val="21"/>
          <w:highlight w:val="none"/>
          <w14:textFill>
            <w14:solidFill>
              <w14:schemeClr w14:val="tx1"/>
            </w14:solidFill>
          </w14:textFill>
        </w:rPr>
        <w:t>（</w:t>
      </w:r>
      <w:r>
        <w:rPr>
          <w:rFonts w:hint="eastAsia"/>
          <w:color w:val="000000" w:themeColor="text1"/>
          <w:sz w:val="21"/>
          <w:szCs w:val="21"/>
          <w:highlight w:val="none"/>
          <w:lang w:eastAsia="zh-CN"/>
          <w14:textFill>
            <w14:solidFill>
              <w14:schemeClr w14:val="tx1"/>
            </w14:solidFill>
          </w14:textFill>
        </w:rPr>
        <w:t>《中华人民共和国药典》2020版高效液相色谱法通则0512</w:t>
      </w:r>
      <w:r>
        <w:rPr>
          <w:rFonts w:hint="eastAsia"/>
          <w:color w:val="000000" w:themeColor="text1"/>
          <w:sz w:val="21"/>
          <w:szCs w:val="21"/>
          <w:highlight w:val="none"/>
          <w14:textFill>
            <w14:solidFill>
              <w14:schemeClr w14:val="tx1"/>
            </w14:solidFill>
          </w14:textFill>
        </w:rPr>
        <w:t>）</w:t>
      </w:r>
      <w:r>
        <w:rPr>
          <w:color w:val="000000" w:themeColor="text1"/>
          <w:sz w:val="21"/>
          <w:szCs w:val="21"/>
          <w:highlight w:val="none"/>
          <w14:textFill>
            <w14:solidFill>
              <w14:schemeClr w14:val="tx1"/>
            </w14:solidFill>
          </w14:textFill>
        </w:rPr>
        <w:t>。</w:t>
      </w:r>
    </w:p>
    <w:p w14:paraId="6B372295">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4.6 质量控制</w:t>
      </w:r>
    </w:p>
    <w:p w14:paraId="7445E2AF">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4.6.1 可追溯</w:t>
      </w:r>
    </w:p>
    <w:p w14:paraId="0D9F93EE">
      <w:pPr>
        <w:pStyle w:val="3"/>
        <w:keepNext w:val="0"/>
        <w:keepLines w:val="0"/>
        <w:pageBreakBefore w:val="0"/>
        <w:kinsoku/>
        <w:wordWrap/>
        <w:overflowPunct/>
        <w:topLinePunct w:val="0"/>
        <w:bidi w:val="0"/>
        <w:adjustRightInd/>
        <w:snapToGrid/>
        <w:spacing w:before="0" w:beforeLines="0" w:after="0" w:afterLines="0" w:line="240" w:lineRule="auto"/>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集采交易药材</w:t>
      </w:r>
      <w:r>
        <w:rPr>
          <w:rFonts w:hint="eastAsia" w:cs="宋体"/>
          <w:bCs/>
          <w:color w:val="000000" w:themeColor="text1"/>
          <w:sz w:val="21"/>
          <w:szCs w:val="21"/>
          <w:highlight w:val="none"/>
          <w:lang w:val="en-US" w:eastAsia="zh-CN"/>
          <w14:textFill>
            <w14:solidFill>
              <w14:schemeClr w14:val="tx1"/>
            </w14:solidFill>
          </w14:textFill>
        </w:rPr>
        <w:t>陈皮</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应实现中药材生产全过程可追溯，并通过第三方溯源评价。</w:t>
      </w:r>
    </w:p>
    <w:p w14:paraId="259EA533">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4.6.2 药材生产管理规范</w:t>
      </w:r>
    </w:p>
    <w:p w14:paraId="0A85FDCF">
      <w:pPr>
        <w:pStyle w:val="3"/>
        <w:keepNext w:val="0"/>
        <w:keepLines w:val="0"/>
        <w:pageBreakBefore w:val="0"/>
        <w:kinsoku/>
        <w:wordWrap/>
        <w:overflowPunct/>
        <w:topLinePunct w:val="0"/>
        <w:bidi w:val="0"/>
        <w:adjustRightInd/>
        <w:snapToGrid/>
        <w:spacing w:before="0" w:beforeLines="0" w:after="0" w:afterLines="0" w:line="240" w:lineRule="auto"/>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cs="宋体"/>
          <w:bCs/>
          <w:color w:val="000000" w:themeColor="text1"/>
          <w:sz w:val="21"/>
          <w:szCs w:val="21"/>
          <w:highlight w:val="none"/>
          <w:lang w:val="en-US" w:eastAsia="zh-CN"/>
          <w14:textFill>
            <w14:solidFill>
              <w14:schemeClr w14:val="tx1"/>
            </w14:solidFill>
          </w14:textFill>
        </w:rPr>
        <w:t>精品药材陈皮</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应符合中药材GAP管理要求，并通过GAP备案或延伸检查。</w:t>
      </w:r>
    </w:p>
    <w:p w14:paraId="40845157">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4.6.3 道地药材</w:t>
      </w:r>
    </w:p>
    <w:p w14:paraId="186B90C5">
      <w:pPr>
        <w:pStyle w:val="3"/>
        <w:keepNext w:val="0"/>
        <w:keepLines w:val="0"/>
        <w:pageBreakBefore w:val="0"/>
        <w:kinsoku/>
        <w:wordWrap/>
        <w:overflowPunct/>
        <w:topLinePunct w:val="0"/>
        <w:bidi w:val="0"/>
        <w:adjustRightInd/>
        <w:snapToGrid/>
        <w:spacing w:before="0" w:beforeLines="0" w:after="0" w:afterLines="0" w:line="240" w:lineRule="auto"/>
        <w:textAlignment w:val="auto"/>
        <w:rPr>
          <w:rFonts w:hint="eastAsia" w:ascii="宋体" w:hAnsi="宋体" w:eastAsia="宋体" w:cs="宋体"/>
          <w:bCs/>
          <w:color w:val="000000" w:themeColor="text1"/>
          <w:sz w:val="21"/>
          <w:szCs w:val="21"/>
          <w:highlight w:val="none"/>
          <w:lang w:val="en-US" w:eastAsia="zh-CN"/>
          <w14:textFill>
            <w14:solidFill>
              <w14:schemeClr w14:val="tx1"/>
            </w14:solidFill>
          </w14:textFill>
        </w:rPr>
      </w:pPr>
      <w:r>
        <w:rPr>
          <w:rFonts w:hint="eastAsia" w:cs="宋体"/>
          <w:bCs/>
          <w:color w:val="000000" w:themeColor="text1"/>
          <w:sz w:val="21"/>
          <w:szCs w:val="21"/>
          <w:highlight w:val="none"/>
          <w:lang w:val="en-US" w:eastAsia="zh-CN"/>
          <w14:textFill>
            <w14:solidFill>
              <w14:schemeClr w14:val="tx1"/>
            </w14:solidFill>
          </w14:textFill>
        </w:rPr>
        <w:t>精品药材陈皮</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应符合道地药材要求，并通过第三方道地药材认证。</w:t>
      </w:r>
    </w:p>
    <w:p w14:paraId="521E2B97">
      <w:pPr>
        <w:pStyle w:val="4"/>
        <w:keepNext w:val="0"/>
        <w:keepLines w:val="0"/>
        <w:pageBreakBefore w:val="0"/>
        <w:kinsoku/>
        <w:wordWrap/>
        <w:overflowPunct/>
        <w:topLinePunct w:val="0"/>
        <w:bidi w:val="0"/>
        <w:adjustRightInd/>
        <w:snapToGrid/>
        <w:spacing w:before="157" w:beforeLines="50" w:after="157" w:afterLines="50" w:line="240" w:lineRule="auto"/>
        <w:jc w:val="both"/>
        <w:rPr>
          <w:rFonts w:hint="eastAsia" w:ascii="黑体" w:hAnsi="黑体" w:eastAsia="黑体"/>
          <w:bCs/>
          <w:color w:val="000000" w:themeColor="text1"/>
          <w:sz w:val="21"/>
          <w:szCs w:val="21"/>
          <w:highlight w:val="none"/>
          <w:lang w:val="en-US" w:eastAsia="zh-CN"/>
          <w14:textFill>
            <w14:solidFill>
              <w14:schemeClr w14:val="tx1"/>
            </w14:solidFill>
          </w14:textFill>
        </w:rPr>
      </w:pPr>
      <w:r>
        <w:rPr>
          <w:rFonts w:hint="eastAsia" w:ascii="黑体" w:hAnsi="黑体" w:eastAsia="黑体"/>
          <w:bCs/>
          <w:color w:val="000000" w:themeColor="text1"/>
          <w:sz w:val="21"/>
          <w:szCs w:val="21"/>
          <w:highlight w:val="none"/>
          <w:lang w:val="en-US" w:eastAsia="zh-CN"/>
          <w14:textFill>
            <w14:solidFill>
              <w14:schemeClr w14:val="tx1"/>
            </w14:solidFill>
          </w14:textFill>
        </w:rPr>
        <w:t>4.7 等级及集采要求</w:t>
      </w:r>
    </w:p>
    <w:p w14:paraId="2375B71F">
      <w:pPr>
        <w:pStyle w:val="3"/>
        <w:keepNext w:val="0"/>
        <w:keepLines w:val="0"/>
        <w:pageBreakBefore w:val="0"/>
        <w:kinsoku/>
        <w:wordWrap/>
        <w:overflowPunct/>
        <w:topLinePunct w:val="0"/>
        <w:bidi w:val="0"/>
        <w:adjustRightInd/>
        <w:snapToGrid/>
        <w:spacing w:before="0" w:beforeLines="0" w:after="0" w:afterLines="0" w:line="240" w:lineRule="auto"/>
        <w:textAlignment w:val="auto"/>
        <w:rPr>
          <w:rFonts w:hint="eastAsia" w:ascii="宋体" w:hAnsi="宋体" w:eastAsia="宋体" w:cs="宋体"/>
          <w:bCs/>
          <w:color w:val="000000" w:themeColor="text1"/>
          <w:sz w:val="28"/>
          <w:szCs w:val="28"/>
          <w:highlight w:val="none"/>
          <w:lang w:val="en-US" w:eastAsia="zh-CN"/>
          <w14:textFill>
            <w14:solidFill>
              <w14:schemeClr w14:val="tx1"/>
            </w14:solidFill>
          </w14:textFill>
        </w:rPr>
      </w:pPr>
      <w:r>
        <w:rPr>
          <w:rFonts w:hint="eastAsia" w:ascii="宋体" w:hAnsi="宋体" w:eastAsia="宋体" w:cs="宋体"/>
          <w:bCs/>
          <w:color w:val="000000" w:themeColor="text1"/>
          <w:sz w:val="21"/>
          <w:szCs w:val="21"/>
          <w:highlight w:val="none"/>
          <w:lang w:val="en-US" w:eastAsia="zh-CN"/>
          <w14:textFill>
            <w14:solidFill>
              <w14:schemeClr w14:val="tx1"/>
            </w14:solidFill>
          </w14:textFill>
        </w:rPr>
        <w:t>集采药材</w:t>
      </w:r>
      <w:r>
        <w:rPr>
          <w:rFonts w:hint="eastAsia" w:cs="宋体"/>
          <w:bCs/>
          <w:color w:val="000000" w:themeColor="text1"/>
          <w:sz w:val="21"/>
          <w:szCs w:val="21"/>
          <w:highlight w:val="none"/>
          <w:lang w:val="en-US" w:eastAsia="zh-CN"/>
          <w14:textFill>
            <w14:solidFill>
              <w14:schemeClr w14:val="tx1"/>
            </w14:solidFill>
          </w14:textFill>
        </w:rPr>
        <w:t>陈皮</w:t>
      </w:r>
      <w:r>
        <w:rPr>
          <w:rFonts w:hint="eastAsia" w:ascii="宋体" w:hAnsi="宋体" w:eastAsia="宋体" w:cs="宋体"/>
          <w:bCs/>
          <w:color w:val="000000" w:themeColor="text1"/>
          <w:sz w:val="21"/>
          <w:szCs w:val="21"/>
          <w:highlight w:val="none"/>
          <w:lang w:val="en-US" w:eastAsia="zh-CN"/>
          <w14:textFill>
            <w14:solidFill>
              <w14:schemeClr w14:val="tx1"/>
            </w14:solidFill>
          </w14:textFill>
        </w:rPr>
        <w:t>统货、选货、</w:t>
      </w:r>
      <w:r>
        <w:rPr>
          <w:rFonts w:hint="eastAsia" w:cs="宋体"/>
          <w:bCs/>
          <w:color w:val="000000" w:themeColor="text1"/>
          <w:sz w:val="21"/>
          <w:szCs w:val="21"/>
          <w:highlight w:val="none"/>
          <w:lang w:val="en-US" w:eastAsia="zh-CN"/>
          <w14:textFill>
            <w14:solidFill>
              <w14:schemeClr w14:val="tx1"/>
            </w14:solidFill>
          </w14:textFill>
        </w:rPr>
        <w:t>精品药材具体要求见表1。</w:t>
      </w:r>
    </w:p>
    <w:tbl>
      <w:tblPr>
        <w:tblStyle w:val="9"/>
        <w:tblW w:w="970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40"/>
        <w:gridCol w:w="1940"/>
        <w:gridCol w:w="1940"/>
        <w:gridCol w:w="1940"/>
        <w:gridCol w:w="1940"/>
      </w:tblGrid>
      <w:tr w14:paraId="5EE7A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6" w:hRule="atLeast"/>
        </w:trPr>
        <w:tc>
          <w:tcPr>
            <w:tcW w:w="9700" w:type="dxa"/>
            <w:gridSpan w:val="5"/>
            <w:tcBorders>
              <w:top w:val="nil"/>
              <w:left w:val="nil"/>
              <w:bottom w:val="nil"/>
              <w:right w:val="nil"/>
            </w:tcBorders>
            <w:shd w:val="clear" w:color="auto" w:fill="FFFFFF"/>
            <w:noWrap/>
            <w:vAlign w:val="center"/>
          </w:tcPr>
          <w:p w14:paraId="32CB1357">
            <w:pPr>
              <w:keepNext w:val="0"/>
              <w:keepLines w:val="0"/>
              <w:pageBreakBefore w:val="0"/>
              <w:widowControl/>
              <w:suppressLineNumbers w:val="0"/>
              <w:kinsoku/>
              <w:wordWrap/>
              <w:overflowPunct/>
              <w:topLinePunct w:val="0"/>
              <w:bidi w:val="0"/>
              <w:adjustRightInd/>
              <w:snapToGrid/>
              <w:spacing w:before="157" w:beforeLines="50" w:after="157" w:afterLines="50" w:line="240" w:lineRule="auto"/>
              <w:jc w:val="center"/>
              <w:textAlignment w:val="center"/>
              <w:rPr>
                <w:rFonts w:hint="eastAsia" w:ascii="宋体" w:hAnsi="宋体" w:eastAsia="宋体" w:cs="宋体"/>
                <w:b/>
                <w:bCs/>
                <w:i w:val="0"/>
                <w:iCs w:val="0"/>
                <w:color w:val="000000" w:themeColor="text1"/>
                <w:sz w:val="18"/>
                <w:szCs w:val="18"/>
                <w:highlight w:val="none"/>
                <w:u w:val="none"/>
                <w:lang w:val="en-US"/>
                <w14:textFill>
                  <w14:solidFill>
                    <w14:schemeClr w14:val="tx1"/>
                  </w14:solidFill>
                </w14:textFill>
              </w:rPr>
            </w:pPr>
            <w:r>
              <w:rPr>
                <w:rFonts w:hint="eastAsia" w:ascii="黑体" w:hAnsi="黑体" w:eastAsia="黑体" w:cs="黑体"/>
                <w:b w:val="0"/>
                <w:bCs w:val="0"/>
                <w:i w:val="0"/>
                <w:iCs w:val="0"/>
                <w:color w:val="000000" w:themeColor="text1"/>
                <w:kern w:val="0"/>
                <w:sz w:val="21"/>
                <w:szCs w:val="21"/>
                <w:highlight w:val="none"/>
                <w:u w:val="none"/>
                <w:lang w:val="en-US" w:eastAsia="zh-CN" w:bidi="ar"/>
                <w14:textFill>
                  <w14:solidFill>
                    <w14:schemeClr w14:val="tx1"/>
                  </w14:solidFill>
                </w14:textFill>
              </w:rPr>
              <w:t>表1 道地药材集采交易标准 陈皮</w:t>
            </w:r>
          </w:p>
        </w:tc>
      </w:tr>
      <w:tr w14:paraId="022D7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trPr>
        <w:tc>
          <w:tcPr>
            <w:tcW w:w="3880" w:type="dxa"/>
            <w:gridSpan w:val="2"/>
            <w:tcBorders>
              <w:top w:val="single" w:color="000000" w:sz="4" w:space="0"/>
              <w:left w:val="single" w:color="auto" w:sz="4" w:space="0"/>
              <w:bottom w:val="single" w:color="000000" w:sz="4" w:space="0"/>
              <w:right w:val="single" w:color="000000" w:sz="4" w:space="0"/>
            </w:tcBorders>
            <w:shd w:val="clear" w:color="auto" w:fill="FFFFFF"/>
            <w:vAlign w:val="center"/>
            <mc:AlternateContent>
              <mc:Choice Requires="wpsCustomData">
                <wpsCustomData:diagonals>
                  <wpsCustomData:diagonal from="10000" to="30000">
                    <wpsCustomData:border w:val="single" w:color="000000" w:sz="4" w:space="0"/>
                  </wpsCustomData:diagonal>
                </wpsCustomData:diagonals>
              </mc:Choice>
            </mc:AlternateContent>
          </w:tcPr>
          <w:p w14:paraId="089C4218">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b w:val="0"/>
                <w:bCs w:val="0"/>
                <w:i w:val="0"/>
                <w:iCs w:val="0"/>
                <w:color w:val="000000" w:themeColor="text1"/>
                <w:kern w:val="0"/>
                <w:sz w:val="18"/>
                <w:szCs w:val="18"/>
                <w:highlight w:val="none"/>
                <w:u w:val="none"/>
                <w:lang w:val="en-US" w:eastAsia="zh-CN" w:bidi="ar"/>
                <w14:textFill>
                  <w14:solidFill>
                    <w14:schemeClr w14:val="tx1"/>
                  </w14:solidFill>
                </w14:textFill>
              </w:rPr>
            </w:pPr>
          </w:p>
          <w:p w14:paraId="45EAC308">
            <w:pPr>
              <w:keepNext w:val="0"/>
              <w:keepLines w:val="0"/>
              <w:pageBreakBefore w:val="0"/>
              <w:kinsoku/>
              <w:wordWrap/>
              <w:overflowPunct/>
              <w:topLinePunct w:val="0"/>
              <w:bidi w:val="0"/>
              <w:adjustRightInd/>
              <w:snapToGrid/>
              <w:spacing w:line="240" w:lineRule="auto"/>
              <w:jc w:val="center"/>
              <w:textAlignment w:val="auto"/>
              <mc:AlternateContent>
                <mc:Choice Requires="wpsCustomData">
                  <wpsCustomData:diagonalParaType/>
                </mc:Choice>
              </mc:AlternateContent>
              <w:rPr>
                <w:rFonts w:hint="eastAsia" w:ascii="宋体" w:hAnsi="宋体" w:eastAsia="宋体" w:cs="宋体"/>
                <w:b w:val="0"/>
                <w:bCs w:val="0"/>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18"/>
                <w:szCs w:val="18"/>
                <w:highlight w:val="none"/>
                <w:u w:val="none"/>
                <w:lang w:val="en-US" w:eastAsia="zh-CN" w:bidi="ar"/>
                <w14:textFill>
                  <w14:solidFill>
                    <w14:schemeClr w14:val="tx1"/>
                  </w14:solidFill>
                </w14:textFill>
              </w:rPr>
              <w:t>指标</w:t>
            </w:r>
          </w:p>
          <w:p w14:paraId="647907D0">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18"/>
                <w:szCs w:val="18"/>
                <w:highlight w:val="none"/>
                <w:u w:val="none"/>
                <w:lang w:val="en-US" w:eastAsia="zh-CN" w:bidi="ar"/>
                <w14:textFill>
                  <w14:solidFill>
                    <w14:schemeClr w14:val="tx1"/>
                  </w14:solidFill>
                </w14:textFill>
              </w:rPr>
              <w:t>等级</w:t>
            </w: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5C3B17">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b w:val="0"/>
                <w:bCs w:val="0"/>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18"/>
                <w:szCs w:val="18"/>
                <w:highlight w:val="none"/>
                <w:u w:val="none"/>
                <w:lang w:val="en-US" w:eastAsia="zh-CN" w:bidi="ar"/>
                <w14:textFill>
                  <w14:solidFill>
                    <w14:schemeClr w14:val="tx1"/>
                  </w14:solidFill>
                </w14:textFill>
              </w:rPr>
              <w:t>统货</w:t>
            </w: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B02D1F">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b w:val="0"/>
                <w:bCs w:val="0"/>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18"/>
                <w:szCs w:val="18"/>
                <w:highlight w:val="none"/>
                <w:u w:val="none"/>
                <w:lang w:val="en-US" w:eastAsia="zh-CN" w:bidi="ar"/>
                <w14:textFill>
                  <w14:solidFill>
                    <w14:schemeClr w14:val="tx1"/>
                  </w14:solidFill>
                </w14:textFill>
              </w:rPr>
              <w:t>选货</w:t>
            </w: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42FBC0">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b w:val="0"/>
                <w:bCs w:val="0"/>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b w:val="0"/>
                <w:bCs w:val="0"/>
                <w:i w:val="0"/>
                <w:iCs w:val="0"/>
                <w:color w:val="000000" w:themeColor="text1"/>
                <w:kern w:val="0"/>
                <w:sz w:val="18"/>
                <w:szCs w:val="18"/>
                <w:highlight w:val="none"/>
                <w:u w:val="none"/>
                <w:lang w:val="en-US" w:eastAsia="zh-CN" w:bidi="ar"/>
                <w14:textFill>
                  <w14:solidFill>
                    <w14:schemeClr w14:val="tx1"/>
                  </w14:solidFill>
                </w14:textFill>
              </w:rPr>
              <w:t>精品药材</w:t>
            </w:r>
          </w:p>
        </w:tc>
      </w:tr>
      <w:tr w14:paraId="522FA0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9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3444BF5">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来源</w:t>
            </w: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A26EA8">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cs="宋体"/>
                <w:i w:val="0"/>
                <w:iCs w:val="0"/>
                <w:color w:val="000000" w:themeColor="text1"/>
                <w:kern w:val="0"/>
                <w:sz w:val="18"/>
                <w:szCs w:val="18"/>
                <w:highlight w:val="none"/>
                <w:u w:val="none"/>
                <w:lang w:val="en-US" w:eastAsia="zh-CN" w:bidi="ar"/>
                <w14:textFill>
                  <w14:solidFill>
                    <w14:schemeClr w14:val="tx1"/>
                  </w14:solidFill>
                </w14:textFill>
              </w:rPr>
              <w:t>基原</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811FB7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茶枝柑</w:t>
            </w:r>
            <w:r>
              <w:rPr>
                <w:rStyle w:val="10"/>
                <w:rFonts w:hint="eastAsia" w:ascii="宋体" w:hAnsi="宋体" w:cs="宋体"/>
                <w:i/>
                <w:iCs/>
                <w:color w:val="000000" w:themeColor="text1"/>
                <w:sz w:val="18"/>
                <w:szCs w:val="18"/>
                <w:highlight w:val="none"/>
                <w:lang w:val="en-US" w:eastAsia="zh-CN"/>
                <w14:textFill>
                  <w14:solidFill>
                    <w14:schemeClr w14:val="tx1"/>
                  </w14:solidFill>
                </w14:textFill>
              </w:rPr>
              <w:t>Citrus reticulata</w:t>
            </w:r>
            <w:r>
              <w:rPr>
                <w:rStyle w:val="10"/>
                <w:rFonts w:hint="eastAsia" w:ascii="宋体" w:hAnsi="宋体" w:cs="宋体"/>
                <w:color w:val="000000" w:themeColor="text1"/>
                <w:sz w:val="18"/>
                <w:szCs w:val="18"/>
                <w:highlight w:val="none"/>
                <w:lang w:val="en-US" w:eastAsia="zh-CN"/>
                <w14:textFill>
                  <w14:solidFill>
                    <w14:schemeClr w14:val="tx1"/>
                  </w14:solidFill>
                </w14:textFill>
              </w:rPr>
              <w:t xml:space="preserve"> cv.‘Chachiensis’</w:t>
            </w:r>
          </w:p>
        </w:tc>
      </w:tr>
      <w:tr w14:paraId="7B7208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A0C9A6C">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C5CF07">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药用部位</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B74602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干燥成熟果皮</w:t>
            </w:r>
          </w:p>
        </w:tc>
      </w:tr>
      <w:tr w14:paraId="1A7531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1D469AE">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8B08F7">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采收时间</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728064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食用时采收</w:t>
            </w:r>
          </w:p>
        </w:tc>
      </w:tr>
      <w:tr w14:paraId="574F89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8E26D2">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7ACF7CA">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产地加工</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5A8257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晒干或低温干燥</w:t>
            </w:r>
          </w:p>
        </w:tc>
      </w:tr>
      <w:tr w14:paraId="066A54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6FE3AC4">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8330FB">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lang w:val="en-US"/>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产地</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5FA6E1F">
            <w:pPr>
              <w:keepNext w:val="0"/>
              <w:keepLines w:val="0"/>
              <w:pageBreakBefore w:val="0"/>
              <w:widowControl/>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广东省江门市新会区</w:t>
            </w:r>
          </w:p>
        </w:tc>
      </w:tr>
      <w:tr w14:paraId="45BEFD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12CA427">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性状</w:t>
            </w: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298D48">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形状</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C4A48C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常剥成数瓣，基部相连，有的呈不规则的片状</w:t>
            </w:r>
          </w:p>
        </w:tc>
      </w:tr>
      <w:tr w14:paraId="19B1C5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F3EE11">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12436F">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气味</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D88AB02">
            <w:pPr>
              <w:pStyle w:val="12"/>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气香，味辛、苦</w:t>
            </w:r>
          </w:p>
        </w:tc>
      </w:tr>
      <w:tr w14:paraId="2D998E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EAAAA06">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08EF81">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质地</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E1EDC45">
            <w:pPr>
              <w:pStyle w:val="12"/>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质稍硬而脆</w:t>
            </w:r>
          </w:p>
        </w:tc>
      </w:tr>
      <w:tr w14:paraId="326E4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8303A30">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D19B3F">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表面</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65EAFB91">
            <w:pPr>
              <w:pStyle w:val="12"/>
              <w:keepNext w:val="0"/>
              <w:keepLines w:val="0"/>
              <w:pageBreakBefore w:val="0"/>
              <w:widowControl/>
              <w:kinsoku/>
              <w:wordWrap/>
              <w:overflowPunct/>
              <w:topLinePunct w:val="0"/>
              <w:autoSpaceDE/>
              <w:autoSpaceDN/>
              <w:bidi w:val="0"/>
              <w:adjustRightInd/>
              <w:snapToGrid/>
              <w:spacing w:after="0" w:afterLines="0"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外表面橙红色或红棕色，有细皱纹和凹下的点状油室；内表面浅黄白色，粗糙，附黄白色或黄棕色筋络状维管束</w:t>
            </w:r>
          </w:p>
        </w:tc>
      </w:tr>
      <w:tr w14:paraId="4AD424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top w:val="single" w:color="000000" w:sz="4" w:space="0"/>
              <w:left w:val="single" w:color="000000" w:sz="4" w:space="0"/>
              <w:bottom w:val="single" w:color="auto" w:sz="4" w:space="0"/>
              <w:right w:val="single" w:color="000000" w:sz="4" w:space="0"/>
            </w:tcBorders>
            <w:shd w:val="clear" w:color="auto" w:fill="FFFFFF"/>
            <w:vAlign w:val="center"/>
          </w:tcPr>
          <w:p w14:paraId="7531BABD">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000000" w:sz="4" w:space="0"/>
              <w:left w:val="single" w:color="000000" w:sz="4" w:space="0"/>
              <w:bottom w:val="single" w:color="auto" w:sz="4" w:space="0"/>
              <w:right w:val="single" w:color="000000" w:sz="4" w:space="0"/>
            </w:tcBorders>
            <w:shd w:val="clear" w:color="auto" w:fill="FFFFFF"/>
            <w:vAlign w:val="center"/>
          </w:tcPr>
          <w:p w14:paraId="77CF6891">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厚度</w:t>
            </w: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DF5D2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1～4mm</w:t>
            </w: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5232A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1mm</w:t>
            </w: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E81A1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1mm</w:t>
            </w:r>
          </w:p>
        </w:tc>
      </w:tr>
      <w:tr w14:paraId="157F2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940" w:type="dxa"/>
            <w:vMerge w:val="restart"/>
            <w:tcBorders>
              <w:top w:val="single" w:color="000000" w:sz="4" w:space="0"/>
              <w:left w:val="single" w:color="000000" w:sz="4" w:space="0"/>
              <w:right w:val="single" w:color="000000" w:sz="4" w:space="0"/>
            </w:tcBorders>
            <w:shd w:val="clear" w:color="auto" w:fill="FFFFFF"/>
            <w:vAlign w:val="center"/>
          </w:tcPr>
          <w:p w14:paraId="78ABE42C">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lang w:val="en-US" w:eastAsia="zh-CN"/>
                <w14:textFill>
                  <w14:solidFill>
                    <w14:schemeClr w14:val="tx1"/>
                  </w14:solidFill>
                </w14:textFill>
              </w:rPr>
            </w:pPr>
            <w:r>
              <w:rPr>
                <w:rFonts w:hint="eastAsia" w:ascii="宋体" w:hAnsi="宋体" w:eastAsia="宋体" w:cs="宋体"/>
                <w:i w:val="0"/>
                <w:iCs w:val="0"/>
                <w:color w:val="000000" w:themeColor="text1"/>
                <w:sz w:val="18"/>
                <w:szCs w:val="18"/>
                <w:highlight w:val="none"/>
                <w:u w:val="none"/>
                <w:lang w:val="en-US" w:eastAsia="zh-CN"/>
                <w14:textFill>
                  <w14:solidFill>
                    <w14:schemeClr w14:val="tx1"/>
                  </w14:solidFill>
                </w14:textFill>
              </w:rPr>
              <w:t>鉴别</w:t>
            </w:r>
          </w:p>
        </w:tc>
        <w:tc>
          <w:tcPr>
            <w:tcW w:w="1940" w:type="dxa"/>
            <w:tcBorders>
              <w:top w:val="single" w:color="000000" w:sz="4" w:space="0"/>
              <w:left w:val="single" w:color="000000" w:sz="4" w:space="0"/>
              <w:bottom w:val="single" w:color="auto" w:sz="4" w:space="0"/>
              <w:right w:val="single" w:color="000000" w:sz="4" w:space="0"/>
            </w:tcBorders>
            <w:shd w:val="clear" w:color="auto" w:fill="FFFFFF"/>
            <w:vAlign w:val="center"/>
          </w:tcPr>
          <w:p w14:paraId="1B473612">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18"/>
                <w:szCs w:val="18"/>
                <w:highlight w:val="none"/>
                <w:u w:val="none"/>
                <w:lang w:val="en-US" w:eastAsia="zh-CN" w:bidi="ar"/>
                <w14:textFill>
                  <w14:solidFill>
                    <w14:schemeClr w14:val="tx1"/>
                  </w14:solidFill>
                </w14:textFill>
              </w:rPr>
              <w:t>显微鉴别</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7873681E">
            <w:pPr>
              <w:pStyle w:val="8"/>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本品粉末黄白色至黄棕色。中果皮薄壁组织众多，细胞形状不规则，壁不均匀增厚，有的成连珠状。果皮表皮细胞表面观多角形、类方形或长方形，垂周壁稍厚，气孔类圆形，直径18～26μm，副卫细胞不清晰；侧面观外被角质层，靠外方的径向壁增厚。草酸钙方晶成片存在于中果皮薄壁细胞中，呈多面体形、菱形或双锥形，直径3～34μm，长5～53μm，有的一个细胞内含有由两个多面体构成的平行双晶或3～5个方晶。橙皮苷结晶大多存在于薄壁细胞中，黄色或无色，呈圆形或无定形团块，有的可见放射状条纹。可见螺纹导管、孔纹导管和网纹导管及较小的管胞</w:t>
            </w:r>
          </w:p>
        </w:tc>
      </w:tr>
      <w:tr w14:paraId="1A01B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940" w:type="dxa"/>
            <w:vMerge w:val="continue"/>
            <w:tcBorders>
              <w:left w:val="single" w:color="000000" w:sz="4" w:space="0"/>
              <w:right w:val="single" w:color="000000" w:sz="4" w:space="0"/>
            </w:tcBorders>
            <w:shd w:val="clear" w:color="auto" w:fill="FFFFFF"/>
            <w:vAlign w:val="center"/>
          </w:tcPr>
          <w:p w14:paraId="33FD9046">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lang w:val="en-US" w:eastAsia="zh-CN"/>
                <w14:textFill>
                  <w14:solidFill>
                    <w14:schemeClr w14:val="tx1"/>
                  </w14:solidFill>
                </w14:textFill>
              </w:rPr>
            </w:pPr>
          </w:p>
        </w:tc>
        <w:tc>
          <w:tcPr>
            <w:tcW w:w="1940" w:type="dxa"/>
            <w:tcBorders>
              <w:top w:val="single" w:color="000000" w:sz="4" w:space="0"/>
              <w:left w:val="single" w:color="000000" w:sz="4" w:space="0"/>
              <w:bottom w:val="single" w:color="auto" w:sz="4" w:space="0"/>
              <w:right w:val="single" w:color="000000" w:sz="4" w:space="0"/>
            </w:tcBorders>
            <w:shd w:val="clear" w:color="auto" w:fill="FFFFFF"/>
            <w:vAlign w:val="center"/>
          </w:tcPr>
          <w:p w14:paraId="45F37FE6">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18"/>
                <w:szCs w:val="18"/>
                <w:highlight w:val="none"/>
                <w:u w:val="none"/>
                <w:lang w:val="en-US" w:eastAsia="zh-CN" w:bidi="ar"/>
                <w14:textFill>
                  <w14:solidFill>
                    <w14:schemeClr w14:val="tx1"/>
                  </w14:solidFill>
                </w14:textFill>
              </w:rPr>
              <w:t>薄层鉴别</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cs="宋体"/>
                <w:i w:val="0"/>
                <w:iCs w:val="0"/>
                <w:color w:val="000000" w:themeColor="text1"/>
                <w:kern w:val="0"/>
                <w:sz w:val="18"/>
                <w:szCs w:val="18"/>
                <w:highlight w:val="none"/>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20D06CC8">
            <w:pPr>
              <w:pStyle w:val="8"/>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取本品粉末0.3g，加甲醇10</w:t>
            </w:r>
            <w:r>
              <w:rPr>
                <w:rStyle w:val="10"/>
                <w:rFonts w:hint="eastAsia" w:cs="宋体"/>
                <w:color w:val="000000" w:themeColor="text1"/>
                <w:kern w:val="2"/>
                <w:sz w:val="18"/>
                <w:szCs w:val="18"/>
                <w:highlight w:val="none"/>
                <w:lang w:val="en-US" w:eastAsia="zh-CN" w:bidi="ar-SA"/>
                <w14:textFill>
                  <w14:solidFill>
                    <w14:schemeClr w14:val="tx1"/>
                  </w14:solidFill>
                </w14:textFill>
              </w:rPr>
              <w:t>ml</w:t>
            </w: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，超声处理20分钟，滤过，取滤液5</w:t>
            </w:r>
            <w:r>
              <w:rPr>
                <w:rStyle w:val="10"/>
                <w:rFonts w:hint="eastAsia" w:cs="宋体"/>
                <w:color w:val="000000" w:themeColor="text1"/>
                <w:kern w:val="2"/>
                <w:sz w:val="18"/>
                <w:szCs w:val="18"/>
                <w:highlight w:val="none"/>
                <w:lang w:val="en-US" w:eastAsia="zh-CN" w:bidi="ar-SA"/>
                <w14:textFill>
                  <w14:solidFill>
                    <w14:schemeClr w14:val="tx1"/>
                  </w14:solidFill>
                </w14:textFill>
              </w:rPr>
              <w:t>ml</w:t>
            </w: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，浓缩至1</w:t>
            </w:r>
            <w:r>
              <w:rPr>
                <w:rStyle w:val="10"/>
                <w:rFonts w:hint="eastAsia" w:cs="宋体"/>
                <w:color w:val="000000" w:themeColor="text1"/>
                <w:kern w:val="2"/>
                <w:sz w:val="18"/>
                <w:szCs w:val="18"/>
                <w:highlight w:val="none"/>
                <w:lang w:val="en-US" w:eastAsia="zh-CN" w:bidi="ar-SA"/>
                <w14:textFill>
                  <w14:solidFill>
                    <w14:schemeClr w14:val="tx1"/>
                  </w14:solidFill>
                </w14:textFill>
              </w:rPr>
              <w:t>ml</w:t>
            </w: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作为供试品溶液。另取橙皮苷对照品，加甲醇制成饱和溶液，作为对照品溶液。照薄层色谱法（《中华人民共和国药典》2020年版通则0502）试验，吸取上述两种溶液各2μl，分别点于同一用0.5%氢氧化钠溶液制备的硅胶G薄层板上，以乙酸乙酯-甲醇-水（100:17:13）为展开剂，展至约3cm，取出，晾干，再以甲苯-乙酸乙酯-甲酸-水（20:10:1:1）的上层溶液为展开剂，展至约8cm，取出，晾干，喷以三氯化铝试液，置紫外光灯（365nm）下检视。供试品色谱中，在与对照品色谱相应的位置上，显相同颜色的荧光斑点</w:t>
            </w:r>
          </w:p>
        </w:tc>
      </w:tr>
      <w:tr w14:paraId="6C7A06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940" w:type="dxa"/>
            <w:vMerge w:val="continue"/>
            <w:tcBorders>
              <w:left w:val="single" w:color="000000" w:sz="4" w:space="0"/>
              <w:bottom w:val="single" w:color="auto" w:sz="4" w:space="0"/>
              <w:right w:val="single" w:color="000000" w:sz="4" w:space="0"/>
            </w:tcBorders>
            <w:shd w:val="clear" w:color="auto" w:fill="FFFFFF"/>
            <w:vAlign w:val="center"/>
          </w:tcPr>
          <w:p w14:paraId="24BD86DF">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lang w:val="en-US" w:eastAsia="zh-CN"/>
                <w14:textFill>
                  <w14:solidFill>
                    <w14:schemeClr w14:val="tx1"/>
                  </w14:solidFill>
                </w14:textFill>
              </w:rPr>
            </w:pPr>
          </w:p>
        </w:tc>
        <w:tc>
          <w:tcPr>
            <w:tcW w:w="1940" w:type="dxa"/>
            <w:tcBorders>
              <w:top w:val="single" w:color="000000" w:sz="4" w:space="0"/>
              <w:left w:val="single" w:color="000000" w:sz="4" w:space="0"/>
              <w:bottom w:val="single" w:color="auto" w:sz="4" w:space="0"/>
              <w:right w:val="single" w:color="000000" w:sz="4" w:space="0"/>
            </w:tcBorders>
            <w:shd w:val="clear" w:color="auto" w:fill="FFFFFF"/>
            <w:vAlign w:val="center"/>
          </w:tcPr>
          <w:p w14:paraId="6339291F">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cs="宋体"/>
                <w:i w:val="0"/>
                <w:iCs w:val="0"/>
                <w:color w:val="000000" w:themeColor="text1"/>
                <w:kern w:val="0"/>
                <w:sz w:val="18"/>
                <w:szCs w:val="18"/>
                <w:highlight w:val="none"/>
                <w:u w:val="none"/>
                <w:lang w:val="en-US" w:eastAsia="zh-CN" w:bidi="ar"/>
                <w14:textFill>
                  <w14:solidFill>
                    <w14:schemeClr w14:val="tx1"/>
                  </w14:solidFill>
                </w14:textFill>
              </w:rPr>
              <w:t>薄层鉴别</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r>
              <w:rPr>
                <w:rFonts w:hint="eastAsia" w:ascii="宋体" w:hAnsi="宋体" w:cs="宋体"/>
                <w:i w:val="0"/>
                <w:iCs w:val="0"/>
                <w:color w:val="000000" w:themeColor="text1"/>
                <w:kern w:val="0"/>
                <w:sz w:val="18"/>
                <w:szCs w:val="18"/>
                <w:highlight w:val="none"/>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4702775">
            <w:pPr>
              <w:pStyle w:val="8"/>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另取2-甲氨基苯甲酸甲酯对照品，加甲醇制成每1</w:t>
            </w:r>
            <w:r>
              <w:rPr>
                <w:rStyle w:val="10"/>
                <w:rFonts w:hint="eastAsia" w:cs="宋体"/>
                <w:color w:val="000000" w:themeColor="text1"/>
                <w:kern w:val="2"/>
                <w:sz w:val="18"/>
                <w:szCs w:val="18"/>
                <w:highlight w:val="none"/>
                <w:lang w:val="en-US" w:eastAsia="zh-CN" w:bidi="ar-SA"/>
                <w14:textFill>
                  <w14:solidFill>
                    <w14:schemeClr w14:val="tx1"/>
                  </w14:solidFill>
                </w14:textFill>
              </w:rPr>
              <w:t>ml</w:t>
            </w: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含0.1mg的溶液，作为对照品溶液，再取广陈皮对照提取物，加甲醇超声处理20分钟，制成每1</w:t>
            </w:r>
            <w:r>
              <w:rPr>
                <w:rStyle w:val="10"/>
                <w:rFonts w:hint="eastAsia" w:cs="宋体"/>
                <w:color w:val="000000" w:themeColor="text1"/>
                <w:kern w:val="2"/>
                <w:sz w:val="18"/>
                <w:szCs w:val="18"/>
                <w:highlight w:val="none"/>
                <w:lang w:val="en-US" w:eastAsia="zh-CN" w:bidi="ar-SA"/>
                <w14:textFill>
                  <w14:solidFill>
                    <w14:schemeClr w14:val="tx1"/>
                  </w14:solidFill>
                </w14:textFill>
              </w:rPr>
              <w:t>ml</w:t>
            </w: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含15mg的溶液，作为对照提取物溶液。照薄层色谱法（《中华人民共和国药典》2020年版通则0502）试验，吸取上述两种溶液及〔鉴别〕（2）项下的供试品溶液各2μl，分别点于同一硅胶G薄层板上，以甲苯-乙酸乙酯-甲醇-水（10:4:2:0.5）10℃以下放置的上层溶液为展开剂，展至约5cm，取出，晾干，再以环己烷为展开剂，展至约8cm，取出，晾干，置紫外光灯（365nm）下检视。供试品色谱中，在与对照提取物色谱和对照品色谱相应的位置上，显相同颜色的荧光斑点（广陈皮）</w:t>
            </w:r>
          </w:p>
        </w:tc>
      </w:tr>
      <w:tr w14:paraId="42031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4" w:hRule="atLeast"/>
        </w:trPr>
        <w:tc>
          <w:tcPr>
            <w:tcW w:w="194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5788728F">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检查</w:t>
            </w: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14:paraId="4CA44B62">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2"/>
                <w:sz w:val="18"/>
                <w:szCs w:val="18"/>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水分</w:t>
            </w:r>
          </w:p>
        </w:tc>
        <w:tc>
          <w:tcPr>
            <w:tcW w:w="5820" w:type="dxa"/>
            <w:gridSpan w:val="3"/>
            <w:tcBorders>
              <w:top w:val="single" w:color="000000" w:sz="4" w:space="0"/>
              <w:left w:val="single" w:color="auto" w:sz="4" w:space="0"/>
              <w:bottom w:val="single" w:color="000000" w:sz="4" w:space="0"/>
              <w:right w:val="single" w:color="000000" w:sz="4" w:space="0"/>
            </w:tcBorders>
            <w:shd w:val="clear" w:color="auto" w:fill="FFFFFF"/>
            <w:vAlign w:val="center"/>
          </w:tcPr>
          <w:p w14:paraId="2ED7AB0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不得过13.0%</w:t>
            </w:r>
          </w:p>
        </w:tc>
      </w:tr>
      <w:tr w14:paraId="3BE74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2616276D">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14:paraId="196B6D36">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2"/>
                <w:sz w:val="18"/>
                <w:szCs w:val="18"/>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二氧化硫残留*</w:t>
            </w:r>
          </w:p>
        </w:tc>
        <w:tc>
          <w:tcPr>
            <w:tcW w:w="5820" w:type="dxa"/>
            <w:gridSpan w:val="3"/>
            <w:tcBorders>
              <w:top w:val="single" w:color="000000" w:sz="4" w:space="0"/>
              <w:left w:val="single" w:color="auto" w:sz="4" w:space="0"/>
              <w:bottom w:val="single" w:color="000000" w:sz="4" w:space="0"/>
              <w:right w:val="single" w:color="000000" w:sz="4" w:space="0"/>
            </w:tcBorders>
            <w:shd w:val="clear" w:color="auto" w:fill="FFFFFF"/>
            <w:vAlign w:val="center"/>
          </w:tcPr>
          <w:p w14:paraId="3D8A47A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不得过150mg/kg</w:t>
            </w:r>
          </w:p>
        </w:tc>
      </w:tr>
      <w:tr w14:paraId="6B918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65FC1BE5">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14:paraId="305A29E0">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2"/>
                <w:sz w:val="18"/>
                <w:szCs w:val="18"/>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农药残留*</w:t>
            </w:r>
          </w:p>
        </w:tc>
        <w:tc>
          <w:tcPr>
            <w:tcW w:w="5820" w:type="dxa"/>
            <w:gridSpan w:val="3"/>
            <w:tcBorders>
              <w:top w:val="single" w:color="000000" w:sz="4" w:space="0"/>
              <w:left w:val="single" w:color="auto" w:sz="4" w:space="0"/>
              <w:bottom w:val="single" w:color="000000" w:sz="4" w:space="0"/>
              <w:right w:val="single" w:color="000000" w:sz="4" w:space="0"/>
            </w:tcBorders>
            <w:shd w:val="clear" w:color="auto" w:fill="FFFFFF"/>
            <w:vAlign w:val="center"/>
          </w:tcPr>
          <w:p w14:paraId="65B9F68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《中华人民共和国药典》通则0212中列出的禁用农药不得检出</w:t>
            </w:r>
          </w:p>
        </w:tc>
      </w:tr>
      <w:tr w14:paraId="35329C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44692D5F">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auto" w:sz="4" w:space="0"/>
              <w:left w:val="single" w:color="auto" w:sz="4" w:space="0"/>
              <w:bottom w:val="single" w:color="auto" w:sz="4" w:space="0"/>
              <w:right w:val="single" w:color="auto" w:sz="4" w:space="0"/>
            </w:tcBorders>
            <w:shd w:val="clear" w:color="auto" w:fill="FFFFFF"/>
            <w:vAlign w:val="center"/>
          </w:tcPr>
          <w:p w14:paraId="35E9B8C1">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2"/>
                <w:sz w:val="18"/>
                <w:szCs w:val="18"/>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黄曲霉素</w:t>
            </w:r>
          </w:p>
        </w:tc>
        <w:tc>
          <w:tcPr>
            <w:tcW w:w="5820" w:type="dxa"/>
            <w:gridSpan w:val="3"/>
            <w:tcBorders>
              <w:top w:val="single" w:color="000000" w:sz="4" w:space="0"/>
              <w:left w:val="single" w:color="auto" w:sz="4" w:space="0"/>
              <w:bottom w:val="single" w:color="auto" w:sz="4" w:space="0"/>
              <w:right w:val="single" w:color="000000" w:sz="4" w:space="0"/>
            </w:tcBorders>
            <w:shd w:val="clear" w:color="auto" w:fill="FFFFFF"/>
            <w:vAlign w:val="center"/>
          </w:tcPr>
          <w:p w14:paraId="509C5E8E">
            <w:pPr>
              <w:pStyle w:val="8"/>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本品每1000g含黄曲霉毒素B1不得过5μg，黄曲霉毒素G2、黄曲霉毒素G1、黄曲霉毒素B2和黄曲霉毒素B1的总量不得过10μg</w:t>
            </w:r>
          </w:p>
        </w:tc>
      </w:tr>
      <w:tr w14:paraId="23410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top w:val="single" w:color="auto" w:sz="4" w:space="0"/>
              <w:left w:val="single" w:color="auto" w:sz="4" w:space="0"/>
              <w:bottom w:val="nil"/>
              <w:right w:val="single" w:color="000000" w:sz="4" w:space="0"/>
            </w:tcBorders>
            <w:shd w:val="clear" w:color="auto" w:fill="FFFFFF"/>
            <w:vAlign w:val="center"/>
          </w:tcPr>
          <w:p w14:paraId="75F97628">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auto" w:sz="4" w:space="0"/>
              <w:left w:val="single" w:color="000000" w:sz="4" w:space="0"/>
              <w:bottom w:val="single" w:color="000000" w:sz="4" w:space="0"/>
              <w:right w:val="single" w:color="auto" w:sz="4" w:space="0"/>
            </w:tcBorders>
            <w:shd w:val="clear" w:color="auto" w:fill="FFFFFF"/>
            <w:vAlign w:val="center"/>
          </w:tcPr>
          <w:p w14:paraId="10B11AC1">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2"/>
                <w:sz w:val="18"/>
                <w:szCs w:val="18"/>
                <w:highlight w:val="none"/>
                <w:u w:val="none"/>
                <w:lang w:val="en-US" w:eastAsia="zh-CN" w:bidi="ar-SA"/>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重金属</w:t>
            </w:r>
            <w:r>
              <w:rPr>
                <w:rFonts w:hint="eastAsia" w:ascii="宋体" w:hAnsi="宋体" w:cs="宋体"/>
                <w:i w:val="0"/>
                <w:iCs w:val="0"/>
                <w:color w:val="000000" w:themeColor="text1"/>
                <w:kern w:val="0"/>
                <w:sz w:val="18"/>
                <w:szCs w:val="18"/>
                <w:highlight w:val="none"/>
                <w:u w:val="none"/>
                <w:lang w:val="en-US" w:eastAsia="zh-CN" w:bidi="ar"/>
                <w14:textFill>
                  <w14:solidFill>
                    <w14:schemeClr w14:val="tx1"/>
                  </w14:solidFill>
                </w14:textFill>
              </w:rPr>
              <w:t>残留</w:t>
            </w: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w:t>
            </w:r>
          </w:p>
        </w:tc>
        <w:tc>
          <w:tcPr>
            <w:tcW w:w="5820"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14:paraId="468C5BC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铅不得过10mg/kg；镉不得过1mg/kg；砷不得过5mg/kg；汞不得过1mg/kg；铜不得过20mg/kg</w:t>
            </w:r>
          </w:p>
        </w:tc>
      </w:tr>
      <w:tr w14:paraId="6A36C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940" w:type="dxa"/>
            <w:vMerge w:val="restart"/>
            <w:tcBorders>
              <w:top w:val="single" w:color="000000" w:sz="4" w:space="0"/>
              <w:left w:val="single" w:color="000000" w:sz="4" w:space="0"/>
              <w:right w:val="single" w:color="000000" w:sz="4" w:space="0"/>
            </w:tcBorders>
            <w:shd w:val="clear" w:color="auto" w:fill="FFFFFF"/>
            <w:vAlign w:val="center"/>
          </w:tcPr>
          <w:p w14:paraId="0C91D32A">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含量</w:t>
            </w:r>
          </w:p>
        </w:tc>
        <w:tc>
          <w:tcPr>
            <w:tcW w:w="1940" w:type="dxa"/>
            <w:tcBorders>
              <w:top w:val="single" w:color="000000" w:sz="4" w:space="0"/>
              <w:left w:val="nil"/>
              <w:bottom w:val="single" w:color="000000" w:sz="4" w:space="0"/>
              <w:right w:val="single" w:color="000000" w:sz="4" w:space="0"/>
            </w:tcBorders>
            <w:shd w:val="clear" w:color="auto" w:fill="FFFFFF"/>
            <w:vAlign w:val="center"/>
          </w:tcPr>
          <w:p w14:paraId="6B2AEC30">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橙皮苷（C</w:t>
            </w:r>
            <w:r>
              <w:rPr>
                <w:rFonts w:hint="eastAsia" w:ascii="宋体" w:hAnsi="宋体" w:eastAsia="宋体" w:cs="宋体"/>
                <w:color w:val="000000" w:themeColor="text1"/>
                <w:sz w:val="18"/>
                <w:szCs w:val="18"/>
                <w:highlight w:val="none"/>
                <w:vertAlign w:val="subscript"/>
                <w14:textFill>
                  <w14:solidFill>
                    <w14:schemeClr w14:val="tx1"/>
                  </w14:solidFill>
                </w14:textFill>
              </w:rPr>
              <w:t>28</w:t>
            </w:r>
            <w:r>
              <w:rPr>
                <w:rFonts w:hint="eastAsia" w:ascii="宋体" w:hAnsi="宋体" w:eastAsia="宋体" w:cs="宋体"/>
                <w:color w:val="000000" w:themeColor="text1"/>
                <w:sz w:val="18"/>
                <w:szCs w:val="18"/>
                <w:highlight w:val="none"/>
                <w14:textFill>
                  <w14:solidFill>
                    <w14:schemeClr w14:val="tx1"/>
                  </w14:solidFill>
                </w14:textFill>
              </w:rPr>
              <w:t>H</w:t>
            </w:r>
            <w:r>
              <w:rPr>
                <w:rFonts w:hint="eastAsia" w:ascii="宋体" w:hAnsi="宋体" w:eastAsia="宋体" w:cs="宋体"/>
                <w:color w:val="000000" w:themeColor="text1"/>
                <w:sz w:val="18"/>
                <w:szCs w:val="18"/>
                <w:highlight w:val="none"/>
                <w:vertAlign w:val="subscript"/>
                <w14:textFill>
                  <w14:solidFill>
                    <w14:schemeClr w14:val="tx1"/>
                  </w14:solidFill>
                </w14:textFill>
              </w:rPr>
              <w:t>34</w:t>
            </w:r>
            <w:r>
              <w:rPr>
                <w:rFonts w:hint="eastAsia" w:ascii="宋体" w:hAnsi="宋体" w:eastAsia="宋体" w:cs="宋体"/>
                <w:color w:val="000000" w:themeColor="text1"/>
                <w:sz w:val="18"/>
                <w:szCs w:val="18"/>
                <w:highlight w:val="none"/>
                <w14:textFill>
                  <w14:solidFill>
                    <w14:schemeClr w14:val="tx1"/>
                  </w14:solidFill>
                </w14:textFill>
              </w:rPr>
              <w:t>O</w:t>
            </w:r>
            <w:r>
              <w:rPr>
                <w:rFonts w:hint="eastAsia" w:ascii="宋体" w:hAnsi="宋体" w:eastAsia="宋体" w:cs="宋体"/>
                <w:color w:val="000000" w:themeColor="text1"/>
                <w:sz w:val="18"/>
                <w:szCs w:val="18"/>
                <w:highlight w:val="none"/>
                <w:vertAlign w:val="subscript"/>
                <w14:textFill>
                  <w14:solidFill>
                    <w14:schemeClr w14:val="tx1"/>
                  </w14:solidFill>
                </w14:textFill>
              </w:rPr>
              <w:t>15</w:t>
            </w:r>
            <w:r>
              <w:rPr>
                <w:rFonts w:hint="eastAsia" w:ascii="宋体" w:hAnsi="宋体" w:eastAsia="宋体" w:cs="宋体"/>
                <w:color w:val="000000" w:themeColor="text1"/>
                <w:sz w:val="18"/>
                <w:szCs w:val="18"/>
                <w:highlight w:val="none"/>
                <w14:textFill>
                  <w14:solidFill>
                    <w14:schemeClr w14:val="tx1"/>
                  </w14:solidFill>
                </w14:textFill>
              </w:rPr>
              <w:t>）</w:t>
            </w:r>
          </w:p>
        </w:tc>
        <w:tc>
          <w:tcPr>
            <w:tcW w:w="5820" w:type="dxa"/>
            <w:gridSpan w:val="3"/>
            <w:tcBorders>
              <w:top w:val="single" w:color="auto" w:sz="4" w:space="0"/>
              <w:left w:val="single" w:color="000000" w:sz="4" w:space="0"/>
              <w:bottom w:val="single" w:color="000000" w:sz="4" w:space="0"/>
              <w:right w:val="single" w:color="000000" w:sz="4" w:space="0"/>
            </w:tcBorders>
            <w:shd w:val="clear" w:color="auto" w:fill="FFFFFF"/>
            <w:vAlign w:val="center"/>
          </w:tcPr>
          <w:p w14:paraId="752DA402">
            <w:pPr>
              <w:pStyle w:val="12"/>
              <w:keepNext w:val="0"/>
              <w:keepLines w:val="0"/>
              <w:pageBreakBefore w:val="0"/>
              <w:widowControl/>
              <w:kinsoku/>
              <w:wordWrap/>
              <w:overflowPunct/>
              <w:topLinePunct w:val="0"/>
              <w:autoSpaceDE/>
              <w:autoSpaceDN/>
              <w:bidi w:val="0"/>
              <w:adjustRightInd/>
              <w:snapToGrid/>
              <w:spacing w:after="0" w:afterLines="0" w:line="240" w:lineRule="auto"/>
              <w:ind w:left="0" w:leftChars="0" w:firstLine="0" w:firstLineChars="0"/>
              <w:jc w:val="center"/>
              <w:textAlignment w:val="auto"/>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pPr>
            <w:r>
              <w:rPr>
                <w:rStyle w:val="10"/>
                <w:rFonts w:hint="eastAsia" w:ascii="宋体" w:hAnsi="宋体" w:eastAsia="宋体" w:cs="宋体"/>
                <w:color w:val="000000" w:themeColor="text1"/>
                <w:kern w:val="2"/>
                <w:sz w:val="18"/>
                <w:szCs w:val="18"/>
                <w:highlight w:val="none"/>
                <w:lang w:val="en-US" w:eastAsia="zh-CN" w:bidi="ar-SA"/>
                <w14:textFill>
                  <w14:solidFill>
                    <w14:schemeClr w14:val="tx1"/>
                  </w14:solidFill>
                </w14:textFill>
              </w:rPr>
              <w:t>不得少于2.0%</w:t>
            </w:r>
          </w:p>
        </w:tc>
      </w:tr>
      <w:tr w14:paraId="3673B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left w:val="single" w:color="000000" w:sz="4" w:space="0"/>
              <w:right w:val="single" w:color="000000" w:sz="4" w:space="0"/>
            </w:tcBorders>
            <w:shd w:val="clear" w:color="auto" w:fill="FFFFFF"/>
            <w:vAlign w:val="center"/>
          </w:tcPr>
          <w:p w14:paraId="4A8B5B93">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000000" w:sz="4" w:space="0"/>
              <w:left w:val="nil"/>
              <w:bottom w:val="single" w:color="000000" w:sz="4" w:space="0"/>
              <w:right w:val="single" w:color="000000" w:sz="4" w:space="0"/>
            </w:tcBorders>
            <w:shd w:val="clear" w:color="auto" w:fill="FFFFFF"/>
            <w:vAlign w:val="center"/>
          </w:tcPr>
          <w:p w14:paraId="7DABAF65">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川陈皮素（C</w:t>
            </w:r>
            <w:r>
              <w:rPr>
                <w:rFonts w:hint="eastAsia" w:ascii="宋体" w:hAnsi="宋体" w:eastAsia="宋体" w:cs="宋体"/>
                <w:color w:val="000000" w:themeColor="text1"/>
                <w:sz w:val="18"/>
                <w:szCs w:val="18"/>
                <w:highlight w:val="none"/>
                <w:vertAlign w:val="subscript"/>
                <w14:textFill>
                  <w14:solidFill>
                    <w14:schemeClr w14:val="tx1"/>
                  </w14:solidFill>
                </w14:textFill>
              </w:rPr>
              <w:t>21</w:t>
            </w:r>
            <w:r>
              <w:rPr>
                <w:rFonts w:hint="eastAsia" w:ascii="宋体" w:hAnsi="宋体" w:eastAsia="宋体" w:cs="宋体"/>
                <w:color w:val="000000" w:themeColor="text1"/>
                <w:sz w:val="18"/>
                <w:szCs w:val="18"/>
                <w:highlight w:val="none"/>
                <w14:textFill>
                  <w14:solidFill>
                    <w14:schemeClr w14:val="tx1"/>
                  </w14:solidFill>
                </w14:textFill>
              </w:rPr>
              <w:t>H</w:t>
            </w:r>
            <w:r>
              <w:rPr>
                <w:rFonts w:hint="eastAsia" w:ascii="宋体" w:hAnsi="宋体" w:eastAsia="宋体" w:cs="宋体"/>
                <w:color w:val="000000" w:themeColor="text1"/>
                <w:sz w:val="18"/>
                <w:szCs w:val="18"/>
                <w:highlight w:val="none"/>
                <w:vertAlign w:val="subscript"/>
                <w14:textFill>
                  <w14:solidFill>
                    <w14:schemeClr w14:val="tx1"/>
                  </w14:solidFill>
                </w14:textFill>
              </w:rPr>
              <w:t>22</w:t>
            </w:r>
            <w:r>
              <w:rPr>
                <w:rFonts w:hint="eastAsia" w:ascii="宋体" w:hAnsi="宋体" w:eastAsia="宋体" w:cs="宋体"/>
                <w:color w:val="000000" w:themeColor="text1"/>
                <w:sz w:val="18"/>
                <w:szCs w:val="18"/>
                <w:highlight w:val="none"/>
                <w14:textFill>
                  <w14:solidFill>
                    <w14:schemeClr w14:val="tx1"/>
                  </w14:solidFill>
                </w14:textFill>
              </w:rPr>
              <w:t>O</w:t>
            </w:r>
            <w:r>
              <w:rPr>
                <w:rFonts w:hint="eastAsia" w:ascii="宋体" w:hAnsi="宋体" w:eastAsia="宋体" w:cs="宋体"/>
                <w:color w:val="000000" w:themeColor="text1"/>
                <w:sz w:val="18"/>
                <w:szCs w:val="18"/>
                <w:highlight w:val="none"/>
                <w:vertAlign w:val="subscript"/>
                <w14:textFill>
                  <w14:solidFill>
                    <w14:schemeClr w14:val="tx1"/>
                  </w14:solidFill>
                </w14:textFill>
              </w:rPr>
              <w:t>8</w:t>
            </w:r>
            <w:r>
              <w:rPr>
                <w:rFonts w:hint="eastAsia" w:ascii="宋体" w:hAnsi="宋体" w:eastAsia="宋体" w:cs="宋体"/>
                <w:color w:val="000000" w:themeColor="text1"/>
                <w:sz w:val="18"/>
                <w:szCs w:val="18"/>
                <w:highlight w:val="none"/>
                <w14:textFill>
                  <w14:solidFill>
                    <w14:schemeClr w14:val="tx1"/>
                  </w14:solidFill>
                </w14:textFill>
              </w:rPr>
              <w:t>）</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4894BDB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pPr>
            <w:r>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t>不得少于0.42%</w:t>
            </w:r>
          </w:p>
        </w:tc>
      </w:tr>
      <w:tr w14:paraId="08E0F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1940" w:type="dxa"/>
            <w:vMerge w:val="continue"/>
            <w:tcBorders>
              <w:left w:val="single" w:color="000000" w:sz="4" w:space="0"/>
              <w:bottom w:val="single" w:color="000000" w:sz="4" w:space="0"/>
              <w:right w:val="single" w:color="000000" w:sz="4" w:space="0"/>
            </w:tcBorders>
            <w:shd w:val="clear" w:color="auto" w:fill="FFFFFF"/>
            <w:vAlign w:val="center"/>
          </w:tcPr>
          <w:p w14:paraId="553F7FEE">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1940" w:type="dxa"/>
            <w:tcBorders>
              <w:top w:val="single" w:color="000000" w:sz="4" w:space="0"/>
              <w:left w:val="nil"/>
              <w:bottom w:val="single" w:color="000000" w:sz="4" w:space="0"/>
              <w:right w:val="single" w:color="000000" w:sz="4" w:space="0"/>
            </w:tcBorders>
            <w:shd w:val="clear" w:color="auto" w:fill="FFFFFF"/>
            <w:vAlign w:val="center"/>
          </w:tcPr>
          <w:p w14:paraId="029CE1F8">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color w:val="000000" w:themeColor="text1"/>
                <w:sz w:val="18"/>
                <w:szCs w:val="18"/>
                <w:highlight w:val="none"/>
                <w14:textFill>
                  <w14:solidFill>
                    <w14:schemeClr w14:val="tx1"/>
                  </w14:solidFill>
                </w14:textFill>
              </w:rPr>
            </w:pPr>
            <w:r>
              <w:rPr>
                <w:rFonts w:hint="eastAsia" w:ascii="宋体" w:hAnsi="宋体" w:eastAsia="宋体" w:cs="宋体"/>
                <w:color w:val="000000" w:themeColor="text1"/>
                <w:sz w:val="18"/>
                <w:szCs w:val="18"/>
                <w:highlight w:val="none"/>
                <w14:textFill>
                  <w14:solidFill>
                    <w14:schemeClr w14:val="tx1"/>
                  </w14:solidFill>
                </w14:textFill>
              </w:rPr>
              <w:t>橘皮素（C</w:t>
            </w:r>
            <w:r>
              <w:rPr>
                <w:rFonts w:hint="eastAsia" w:ascii="宋体" w:hAnsi="宋体" w:eastAsia="宋体" w:cs="宋体"/>
                <w:color w:val="000000" w:themeColor="text1"/>
                <w:sz w:val="18"/>
                <w:szCs w:val="18"/>
                <w:highlight w:val="none"/>
                <w:vertAlign w:val="subscript"/>
                <w14:textFill>
                  <w14:solidFill>
                    <w14:schemeClr w14:val="tx1"/>
                  </w14:solidFill>
                </w14:textFill>
              </w:rPr>
              <w:t>20</w:t>
            </w:r>
            <w:r>
              <w:rPr>
                <w:rFonts w:hint="eastAsia" w:ascii="宋体" w:hAnsi="宋体" w:eastAsia="宋体" w:cs="宋体"/>
                <w:color w:val="000000" w:themeColor="text1"/>
                <w:sz w:val="18"/>
                <w:szCs w:val="18"/>
                <w:highlight w:val="none"/>
                <w14:textFill>
                  <w14:solidFill>
                    <w14:schemeClr w14:val="tx1"/>
                  </w14:solidFill>
                </w14:textFill>
              </w:rPr>
              <w:t>H</w:t>
            </w:r>
            <w:r>
              <w:rPr>
                <w:rFonts w:hint="eastAsia" w:ascii="宋体" w:hAnsi="宋体" w:eastAsia="宋体" w:cs="宋体"/>
                <w:color w:val="000000" w:themeColor="text1"/>
                <w:sz w:val="18"/>
                <w:szCs w:val="18"/>
                <w:highlight w:val="none"/>
                <w:vertAlign w:val="subscript"/>
                <w14:textFill>
                  <w14:solidFill>
                    <w14:schemeClr w14:val="tx1"/>
                  </w14:solidFill>
                </w14:textFill>
              </w:rPr>
              <w:t>20</w:t>
            </w:r>
            <w:r>
              <w:rPr>
                <w:rFonts w:hint="eastAsia" w:ascii="宋体" w:hAnsi="宋体" w:eastAsia="宋体" w:cs="宋体"/>
                <w:color w:val="000000" w:themeColor="text1"/>
                <w:sz w:val="18"/>
                <w:szCs w:val="18"/>
                <w:highlight w:val="none"/>
                <w14:textFill>
                  <w14:solidFill>
                    <w14:schemeClr w14:val="tx1"/>
                  </w14:solidFill>
                </w14:textFill>
              </w:rPr>
              <w:t>O</w:t>
            </w:r>
            <w:r>
              <w:rPr>
                <w:rFonts w:hint="eastAsia" w:ascii="宋体" w:hAnsi="宋体" w:eastAsia="宋体" w:cs="宋体"/>
                <w:color w:val="000000" w:themeColor="text1"/>
                <w:sz w:val="18"/>
                <w:szCs w:val="18"/>
                <w:highlight w:val="none"/>
                <w:vertAlign w:val="subscript"/>
                <w14:textFill>
                  <w14:solidFill>
                    <w14:schemeClr w14:val="tx1"/>
                  </w14:solidFill>
                </w14:textFill>
              </w:rPr>
              <w:t>7</w:t>
            </w:r>
            <w:r>
              <w:rPr>
                <w:rFonts w:hint="eastAsia" w:ascii="宋体" w:hAnsi="宋体" w:eastAsia="宋体" w:cs="宋体"/>
                <w:color w:val="000000" w:themeColor="text1"/>
                <w:sz w:val="18"/>
                <w:szCs w:val="18"/>
                <w:highlight w:val="none"/>
                <w14:textFill>
                  <w14:solidFill>
                    <w14:schemeClr w14:val="tx1"/>
                  </w14:solidFill>
                </w14:textFill>
              </w:rPr>
              <w:t>）</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0821D19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pPr>
            <w:r>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t>不得少于0.42%</w:t>
            </w:r>
          </w:p>
        </w:tc>
      </w:tr>
      <w:tr w14:paraId="59AA6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D5A82C">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质量控制</w:t>
            </w: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640A7A">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可追溯*</w:t>
            </w:r>
          </w:p>
        </w:tc>
        <w:tc>
          <w:tcPr>
            <w:tcW w:w="582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CCEECA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pPr>
            <w:r>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t>通过第三方溯源评价</w:t>
            </w:r>
          </w:p>
        </w:tc>
      </w:tr>
      <w:tr w14:paraId="069FC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D8A81D">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pP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7BCC3D">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GAP*</w:t>
            </w:r>
          </w:p>
        </w:tc>
        <w:tc>
          <w:tcPr>
            <w:tcW w:w="19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3DF9C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pPr>
            <w:r>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t>/</w:t>
            </w:r>
          </w:p>
        </w:tc>
        <w:tc>
          <w:tcPr>
            <w:tcW w:w="19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59DFC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pPr>
            <w:r>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t>/</w:t>
            </w:r>
          </w:p>
        </w:tc>
        <w:tc>
          <w:tcPr>
            <w:tcW w:w="19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E83D8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pPr>
            <w:r>
              <w:rPr>
                <w:rFonts w:hint="eastAsia" w:ascii="宋体" w:hAnsi="宋体" w:eastAsia="宋体" w:cs="宋体"/>
                <w:color w:val="000000" w:themeColor="text1"/>
                <w:kern w:val="0"/>
                <w:sz w:val="18"/>
                <w:szCs w:val="18"/>
                <w:highlight w:val="none"/>
                <w:lang w:bidi="ar"/>
                <w14:textFill>
                  <w14:solidFill>
                    <w14:schemeClr w14:val="tx1"/>
                  </w14:solidFill>
                </w14:textFill>
              </w:rPr>
              <w:t>GAP备案或延伸审查通过</w:t>
            </w:r>
          </w:p>
        </w:tc>
      </w:tr>
      <w:tr w14:paraId="3A5691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9A7130">
            <w:pPr>
              <w:keepNext w:val="0"/>
              <w:keepLines w:val="0"/>
              <w:pageBreakBefore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pPr>
          </w:p>
        </w:tc>
        <w:tc>
          <w:tcPr>
            <w:tcW w:w="194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5657B1">
            <w:pPr>
              <w:keepNext w:val="0"/>
              <w:keepLines w:val="0"/>
              <w:pageBreakBefore w:val="0"/>
              <w:widowControl/>
              <w:suppressLineNumbers w:val="0"/>
              <w:kinsoku/>
              <w:wordWrap/>
              <w:overflowPunct/>
              <w:topLinePunct w:val="0"/>
              <w:bidi w:val="0"/>
              <w:adjustRightInd/>
              <w:snapToGrid/>
              <w:spacing w:line="240" w:lineRule="auto"/>
              <w:jc w:val="center"/>
              <w:textAlignment w:val="auto"/>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道地药材*</w:t>
            </w:r>
          </w:p>
        </w:tc>
        <w:tc>
          <w:tcPr>
            <w:tcW w:w="19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A615C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pPr>
            <w:r>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t>/</w:t>
            </w:r>
          </w:p>
        </w:tc>
        <w:tc>
          <w:tcPr>
            <w:tcW w:w="19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7DC2A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pPr>
            <w:r>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t>/</w:t>
            </w:r>
          </w:p>
        </w:tc>
        <w:tc>
          <w:tcPr>
            <w:tcW w:w="194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A62D5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auto"/>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pPr>
            <w:r>
              <w:rPr>
                <w:rStyle w:val="10"/>
                <w:rFonts w:hint="eastAsia" w:ascii="宋体" w:hAnsi="宋体" w:eastAsia="宋体" w:cs="宋体"/>
                <w:color w:val="000000" w:themeColor="text1"/>
                <w:sz w:val="18"/>
                <w:szCs w:val="18"/>
                <w:highlight w:val="none"/>
                <w:lang w:val="en-US" w:eastAsia="zh-CN"/>
                <w14:textFill>
                  <w14:solidFill>
                    <w14:schemeClr w14:val="tx1"/>
                  </w14:solidFill>
                </w14:textFill>
              </w:rPr>
              <w:t>道地药材认证</w:t>
            </w:r>
          </w:p>
        </w:tc>
      </w:tr>
    </w:tbl>
    <w:p w14:paraId="3B6014F6">
      <w:pPr>
        <w:keepNext w:val="0"/>
        <w:keepLines w:val="0"/>
        <w:pageBreakBefore w:val="0"/>
        <w:kinsoku/>
        <w:wordWrap/>
        <w:overflowPunct/>
        <w:topLinePunct w:val="0"/>
        <w:bidi w:val="0"/>
        <w:adjustRightInd/>
        <w:snapToGrid/>
        <w:spacing w:line="240" w:lineRule="auto"/>
        <w:textAlignment w:val="auto"/>
        <w:rPr>
          <w:rFonts w:hint="default" w:ascii="黑体" w:hAnsi="黑体" w:eastAsia="黑体"/>
          <w:bCs/>
          <w:color w:val="000000" w:themeColor="text1"/>
          <w:sz w:val="30"/>
          <w:szCs w:val="30"/>
          <w:highlight w:val="none"/>
          <w:lang w:val="en-US" w:eastAsia="zh-CN"/>
          <w14:textFill>
            <w14:solidFill>
              <w14:schemeClr w14:val="tx1"/>
            </w14:solidFill>
          </w14:textFill>
        </w:rPr>
      </w:pPr>
      <w:r>
        <w:rPr>
          <w:rFonts w:hint="default" w:ascii="黑体" w:hAnsi="黑体" w:eastAsia="黑体"/>
          <w:bCs/>
          <w:color w:val="000000" w:themeColor="text1"/>
          <w:sz w:val="30"/>
          <w:szCs w:val="30"/>
          <w:highlight w:val="none"/>
          <w:lang w:val="en-US" w:eastAsia="zh-CN"/>
          <w14:textFill>
            <w14:solidFill>
              <w14:schemeClr w14:val="tx1"/>
            </w14:solidFill>
          </w14:textFill>
        </w:rPr>
        <w:br w:type="page"/>
      </w:r>
    </w:p>
    <w:p w14:paraId="5745AC1B">
      <w:pPr>
        <w:keepNext w:val="0"/>
        <w:keepLines w:val="0"/>
        <w:pageBreakBefore w:val="0"/>
        <w:kinsoku/>
        <w:wordWrap/>
        <w:overflowPunct/>
        <w:topLinePunct w:val="0"/>
        <w:bidi w:val="0"/>
        <w:adjustRightInd/>
        <w:snapToGrid/>
        <w:spacing w:before="157" w:beforeLines="50" w:beforeAutospacing="0" w:after="157" w:afterLines="50" w:afterAutospacing="0" w:line="240" w:lineRule="auto"/>
        <w:jc w:val="center"/>
        <w:outlineLvl w:val="0"/>
        <w:rPr>
          <w:rFonts w:hint="eastAsia" w:ascii="Times New Roman" w:hAnsi="Times New Roman" w:eastAsia="黑体"/>
          <w:color w:val="000000" w:themeColor="text1"/>
          <w:szCs w:val="21"/>
          <w:highlight w:val="none"/>
          <w:lang w:val="en-US" w:eastAsia="zh-CN"/>
          <w14:textFill>
            <w14:solidFill>
              <w14:schemeClr w14:val="tx1"/>
            </w14:solidFill>
          </w14:textFill>
        </w:rPr>
      </w:pPr>
      <w:r>
        <w:rPr>
          <w:rFonts w:ascii="Times New Roman" w:hAnsi="Times New Roman" w:eastAsia="黑体"/>
          <w:color w:val="000000" w:themeColor="text1"/>
          <w:szCs w:val="21"/>
          <w:highlight w:val="none"/>
          <w14:textFill>
            <w14:solidFill>
              <w14:schemeClr w14:val="tx1"/>
            </w14:solidFill>
          </w14:textFill>
        </w:rPr>
        <w:t>附录</w:t>
      </w:r>
      <w:r>
        <w:rPr>
          <w:rFonts w:hint="eastAsia" w:ascii="Times New Roman" w:hAnsi="Times New Roman" w:eastAsia="黑体"/>
          <w:color w:val="000000" w:themeColor="text1"/>
          <w:szCs w:val="21"/>
          <w:highlight w:val="none"/>
          <w:lang w:val="en-US" w:eastAsia="zh-CN"/>
          <w14:textFill>
            <w14:solidFill>
              <w14:schemeClr w14:val="tx1"/>
            </w14:solidFill>
          </w14:textFill>
        </w:rPr>
        <w:t>A</w:t>
      </w:r>
    </w:p>
    <w:p w14:paraId="33C12130">
      <w:pPr>
        <w:keepNext w:val="0"/>
        <w:keepLines w:val="0"/>
        <w:pageBreakBefore w:val="0"/>
        <w:kinsoku/>
        <w:wordWrap/>
        <w:overflowPunct/>
        <w:topLinePunct w:val="0"/>
        <w:bidi w:val="0"/>
        <w:adjustRightInd/>
        <w:snapToGrid/>
        <w:spacing w:before="157" w:beforeLines="50" w:beforeAutospacing="0" w:after="157" w:afterLines="50" w:afterAutospacing="0" w:line="240" w:lineRule="auto"/>
        <w:jc w:val="center"/>
        <w:outlineLvl w:val="0"/>
        <w:rPr>
          <w:rFonts w:hint="eastAsia" w:ascii="Times New Roman" w:hAnsi="Times New Roman" w:eastAsia="黑体"/>
          <w:color w:val="000000" w:themeColor="text1"/>
          <w:szCs w:val="21"/>
          <w:highlight w:val="none"/>
          <w:lang w:val="en-US" w:eastAsia="zh-CN"/>
          <w14:textFill>
            <w14:solidFill>
              <w14:schemeClr w14:val="tx1"/>
            </w14:solidFill>
          </w14:textFill>
        </w:rPr>
      </w:pPr>
      <w:r>
        <w:rPr>
          <w:rFonts w:hint="eastAsia" w:ascii="Times New Roman" w:hAnsi="Times New Roman" w:eastAsia="黑体"/>
          <w:color w:val="000000" w:themeColor="text1"/>
          <w:szCs w:val="21"/>
          <w:highlight w:val="none"/>
          <w:lang w:val="en-US" w:eastAsia="zh-CN"/>
          <w14:textFill>
            <w14:solidFill>
              <w14:schemeClr w14:val="tx1"/>
            </w14:solidFill>
          </w14:textFill>
        </w:rPr>
        <w:t>（规范性附录）</w:t>
      </w:r>
    </w:p>
    <w:p w14:paraId="0D18DD1D">
      <w:pPr>
        <w:keepNext w:val="0"/>
        <w:keepLines w:val="0"/>
        <w:pageBreakBefore w:val="0"/>
        <w:kinsoku/>
        <w:wordWrap/>
        <w:overflowPunct/>
        <w:topLinePunct w:val="0"/>
        <w:bidi w:val="0"/>
        <w:adjustRightInd/>
        <w:snapToGrid/>
        <w:spacing w:before="157" w:beforeLines="50" w:beforeAutospacing="0" w:after="157" w:afterLines="50" w:afterAutospacing="0" w:line="240" w:lineRule="auto"/>
        <w:jc w:val="center"/>
        <w:outlineLvl w:val="0"/>
        <w:rPr>
          <w:rFonts w:ascii="Times New Roman" w:hAnsi="Times New Roman" w:eastAsia="黑体"/>
          <w:color w:val="000000" w:themeColor="text1"/>
          <w:szCs w:val="21"/>
          <w:highlight w:val="none"/>
          <w14:textFill>
            <w14:solidFill>
              <w14:schemeClr w14:val="tx1"/>
            </w14:solidFill>
          </w14:textFill>
        </w:rPr>
      </w:pPr>
      <w:r>
        <w:rPr>
          <w:rFonts w:hint="eastAsia" w:ascii="Times New Roman" w:hAnsi="Times New Roman" w:eastAsia="黑体"/>
          <w:color w:val="000000" w:themeColor="text1"/>
          <w:szCs w:val="21"/>
          <w:highlight w:val="none"/>
          <w:lang w:val="en-US" w:eastAsia="zh-CN"/>
          <w14:textFill>
            <w14:solidFill>
              <w14:schemeClr w14:val="tx1"/>
            </w14:solidFill>
          </w14:textFill>
        </w:rPr>
        <w:t>陈皮集采交易</w:t>
      </w:r>
      <w:r>
        <w:rPr>
          <w:rFonts w:ascii="Times New Roman" w:hAnsi="Times New Roman" w:eastAsia="黑体"/>
          <w:color w:val="000000" w:themeColor="text1"/>
          <w:szCs w:val="21"/>
          <w:highlight w:val="none"/>
          <w14:textFill>
            <w14:solidFill>
              <w14:schemeClr w14:val="tx1"/>
            </w14:solidFill>
          </w14:textFill>
        </w:rPr>
        <w:t>规格等级性状图</w:t>
      </w:r>
    </w:p>
    <w:p w14:paraId="01EB4966">
      <w:pPr>
        <w:pStyle w:val="4"/>
        <w:keepNext w:val="0"/>
        <w:keepLines w:val="0"/>
        <w:pageBreakBefore w:val="0"/>
        <w:kinsoku/>
        <w:wordWrap/>
        <w:overflowPunct/>
        <w:topLinePunct w:val="0"/>
        <w:bidi w:val="0"/>
        <w:adjustRightInd/>
        <w:snapToGrid/>
        <w:spacing w:before="157" w:beforeLines="50" w:after="157" w:afterLines="50" w:line="240" w:lineRule="auto"/>
        <w:jc w:val="center"/>
        <w:rPr>
          <w:rFonts w:hint="default" w:ascii="黑体" w:hAnsi="黑体" w:eastAsia="黑体"/>
          <w:bCs/>
          <w:color w:val="000000" w:themeColor="text1"/>
          <w:sz w:val="30"/>
          <w:szCs w:val="30"/>
          <w:highlight w:val="none"/>
          <w:lang w:val="en-US" w:eastAsia="zh-CN"/>
          <w14:textFill>
            <w14:solidFill>
              <w14:schemeClr w14:val="tx1"/>
            </w14:solidFill>
          </w14:textFill>
        </w:rPr>
      </w:pPr>
      <w:r>
        <w:rPr>
          <w:rFonts w:hint="default" w:ascii="黑体" w:hAnsi="黑体" w:eastAsia="黑体"/>
          <w:bCs/>
          <w:color w:val="000000" w:themeColor="text1"/>
          <w:sz w:val="30"/>
          <w:szCs w:val="30"/>
          <w:highlight w:val="none"/>
          <w:lang w:val="en-US" w:eastAsia="zh-CN"/>
          <w14:textFill>
            <w14:solidFill>
              <w14:schemeClr w14:val="tx1"/>
            </w14:solidFill>
          </w14:textFill>
        </w:rPr>
        <w:drawing>
          <wp:inline distT="0" distB="0" distL="114300" distR="114300">
            <wp:extent cx="3239770" cy="4211955"/>
            <wp:effectExtent l="0" t="0" r="11430" b="4445"/>
            <wp:docPr id="9" name="图片 9" descr="22-陈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22-陈皮"/>
                    <pic:cNvPicPr>
                      <a:picLocks noChangeAspect="1"/>
                    </pic:cNvPicPr>
                  </pic:nvPicPr>
                  <pic:blipFill>
                    <a:blip r:embed="rId14"/>
                    <a:stretch>
                      <a:fillRect/>
                    </a:stretch>
                  </pic:blipFill>
                  <pic:spPr>
                    <a:xfrm>
                      <a:off x="0" y="0"/>
                      <a:ext cx="3239770" cy="4211955"/>
                    </a:xfrm>
                    <a:prstGeom prst="rect">
                      <a:avLst/>
                    </a:prstGeom>
                  </pic:spPr>
                </pic:pic>
              </a:graphicData>
            </a:graphic>
          </wp:inline>
        </w:drawing>
      </w:r>
    </w:p>
    <w:p w14:paraId="33F8682E">
      <w:pPr>
        <w:pStyle w:val="4"/>
        <w:keepNext w:val="0"/>
        <w:keepLines w:val="0"/>
        <w:pageBreakBefore w:val="0"/>
        <w:kinsoku/>
        <w:wordWrap/>
        <w:overflowPunct/>
        <w:topLinePunct w:val="0"/>
        <w:bidi w:val="0"/>
        <w:adjustRightInd/>
        <w:snapToGrid/>
        <w:spacing w:before="157" w:beforeLines="50" w:after="157" w:afterLines="50" w:line="240" w:lineRule="auto"/>
        <w:jc w:val="center"/>
        <w:rPr>
          <w:rFonts w:hint="eastAsia" w:ascii="Times New Roman" w:hAnsi="Times New Roman" w:eastAsia="黑体"/>
          <w:sz w:val="21"/>
          <w:szCs w:val="24"/>
          <w:highlight w:val="none"/>
          <w:lang w:val="zh-CN" w:eastAsia="zh-CN"/>
        </w:rPr>
      </w:pPr>
      <w:r>
        <w:rPr>
          <w:rFonts w:hint="eastAsia" w:ascii="Times New Roman" w:hAnsi="Times New Roman" w:eastAsia="黑体"/>
          <w:sz w:val="21"/>
          <w:szCs w:val="24"/>
          <w:highlight w:val="none"/>
          <w:lang w:val="en-US" w:eastAsia="zh-CN"/>
        </w:rPr>
        <w:t>图A1 陈皮药材规格</w:t>
      </w:r>
      <w:r>
        <w:rPr>
          <w:rFonts w:hint="eastAsia" w:ascii="Times New Roman" w:hAnsi="Times New Roman" w:eastAsia="黑体"/>
          <w:sz w:val="21"/>
          <w:szCs w:val="24"/>
          <w:highlight w:val="none"/>
          <w:lang w:val="zh-CN" w:eastAsia="zh-CN"/>
        </w:rPr>
        <w:t>等级</w:t>
      </w:r>
      <w:r>
        <w:rPr>
          <w:rFonts w:hint="eastAsia" w:ascii="Times New Roman" w:hAnsi="Times New Roman" w:eastAsia="黑体"/>
          <w:sz w:val="21"/>
          <w:szCs w:val="24"/>
          <w:highlight w:val="none"/>
          <w:lang w:val="en-US" w:eastAsia="zh-CN"/>
        </w:rPr>
        <w:t>性状</w:t>
      </w:r>
      <w:r>
        <w:rPr>
          <w:rFonts w:hint="eastAsia" w:ascii="Times New Roman" w:hAnsi="Times New Roman" w:eastAsia="黑体"/>
          <w:sz w:val="21"/>
          <w:szCs w:val="24"/>
          <w:highlight w:val="none"/>
          <w:lang w:val="zh-CN" w:eastAsia="zh-CN"/>
        </w:rPr>
        <w:t>图</w:t>
      </w:r>
    </w:p>
    <w:p w14:paraId="1354BDF6">
      <w:pPr>
        <w:pStyle w:val="4"/>
        <w:keepNext w:val="0"/>
        <w:keepLines w:val="0"/>
        <w:pageBreakBefore w:val="0"/>
        <w:kinsoku/>
        <w:wordWrap/>
        <w:overflowPunct/>
        <w:topLinePunct w:val="0"/>
        <w:bidi w:val="0"/>
        <w:adjustRightInd/>
        <w:snapToGrid/>
        <w:spacing w:before="157" w:beforeLines="50" w:after="157" w:afterLines="50" w:line="240" w:lineRule="auto"/>
        <w:jc w:val="center"/>
        <w:rPr>
          <w:rFonts w:hint="eastAsia" w:ascii="Times New Roman" w:hAnsi="Times New Roman" w:eastAsia="黑体"/>
          <w:sz w:val="21"/>
          <w:szCs w:val="24"/>
          <w:highlight w:val="none"/>
          <w:lang w:val="zh-CN" w:eastAsia="zh-CN"/>
        </w:rPr>
      </w:pPr>
      <w:r>
        <w:rPr>
          <w:rFonts w:hint="eastAsia" w:ascii="Times New Roman" w:hAnsi="Times New Roman" w:eastAsia="黑体"/>
          <w:sz w:val="21"/>
          <w:szCs w:val="24"/>
          <w:highlight w:val="none"/>
          <w:lang w:val="zh-CN" w:eastAsia="zh-CN"/>
        </w:rPr>
        <w:drawing>
          <wp:inline distT="0" distB="0" distL="114300" distR="114300">
            <wp:extent cx="3191510" cy="2458085"/>
            <wp:effectExtent l="0" t="0" r="0" b="0"/>
            <wp:docPr id="16" name="图片 16" descr="22-新会陈皮8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22-新会陈皮8年"/>
                    <pic:cNvPicPr>
                      <a:picLocks noChangeAspect="1"/>
                    </pic:cNvPicPr>
                  </pic:nvPicPr>
                  <pic:blipFill>
                    <a:blip r:embed="rId15"/>
                    <a:srcRect l="1490" b="2641"/>
                    <a:stretch>
                      <a:fillRect/>
                    </a:stretch>
                  </pic:blipFill>
                  <pic:spPr>
                    <a:xfrm>
                      <a:off x="0" y="0"/>
                      <a:ext cx="3191510" cy="2458085"/>
                    </a:xfrm>
                    <a:prstGeom prst="rect">
                      <a:avLst/>
                    </a:prstGeom>
                  </pic:spPr>
                </pic:pic>
              </a:graphicData>
            </a:graphic>
          </wp:inline>
        </w:drawing>
      </w:r>
    </w:p>
    <w:p w14:paraId="12D44E95">
      <w:pPr>
        <w:pStyle w:val="4"/>
        <w:keepNext w:val="0"/>
        <w:keepLines w:val="0"/>
        <w:pageBreakBefore w:val="0"/>
        <w:kinsoku/>
        <w:wordWrap/>
        <w:overflowPunct/>
        <w:topLinePunct w:val="0"/>
        <w:bidi w:val="0"/>
        <w:adjustRightInd/>
        <w:snapToGrid/>
        <w:spacing w:before="157" w:beforeLines="50" w:after="157" w:afterLines="50" w:line="240" w:lineRule="auto"/>
        <w:jc w:val="center"/>
        <w:rPr>
          <w:rFonts w:hint="default" w:ascii="Times New Roman" w:hAnsi="Times New Roman" w:eastAsia="黑体"/>
          <w:sz w:val="21"/>
          <w:szCs w:val="24"/>
          <w:highlight w:val="none"/>
          <w:lang w:val="en-US" w:eastAsia="zh-CN"/>
        </w:rPr>
      </w:pPr>
      <w:r>
        <w:rPr>
          <w:rFonts w:hint="eastAsia" w:ascii="Times New Roman" w:hAnsi="Times New Roman" w:eastAsia="黑体"/>
          <w:sz w:val="21"/>
          <w:szCs w:val="24"/>
          <w:highlight w:val="none"/>
          <w:lang w:val="en-US" w:eastAsia="zh-CN"/>
        </w:rPr>
        <w:t>图A2 新会陈皮</w:t>
      </w:r>
      <w:r>
        <w:rPr>
          <w:rFonts w:hint="eastAsia" w:ascii="Times New Roman" w:hAnsi="Times New Roman" w:eastAsia="黑体"/>
          <w:sz w:val="21"/>
          <w:szCs w:val="24"/>
          <w:highlight w:val="none"/>
          <w:lang w:val="zh-CN" w:eastAsia="zh-CN"/>
        </w:rPr>
        <w:t>（</w:t>
      </w:r>
      <w:r>
        <w:rPr>
          <w:rFonts w:hint="eastAsia" w:ascii="Times New Roman" w:hAnsi="Times New Roman" w:eastAsia="黑体"/>
          <w:sz w:val="21"/>
          <w:szCs w:val="24"/>
          <w:highlight w:val="none"/>
          <w:lang w:val="en-US" w:eastAsia="zh-CN"/>
        </w:rPr>
        <w:t>8年）规格</w:t>
      </w:r>
      <w:r>
        <w:rPr>
          <w:rFonts w:hint="eastAsia" w:ascii="Times New Roman" w:hAnsi="Times New Roman" w:eastAsia="黑体"/>
          <w:sz w:val="21"/>
          <w:szCs w:val="24"/>
          <w:highlight w:val="none"/>
          <w:lang w:val="zh-CN" w:eastAsia="zh-CN"/>
        </w:rPr>
        <w:t>等级</w:t>
      </w:r>
      <w:r>
        <w:rPr>
          <w:rFonts w:hint="eastAsia" w:ascii="Times New Roman" w:hAnsi="Times New Roman" w:eastAsia="黑体"/>
          <w:sz w:val="21"/>
          <w:szCs w:val="24"/>
          <w:highlight w:val="none"/>
          <w:lang w:val="en-US" w:eastAsia="zh-CN"/>
        </w:rPr>
        <w:t>性状</w:t>
      </w:r>
      <w:r>
        <w:rPr>
          <w:rFonts w:hint="eastAsia" w:ascii="Times New Roman" w:hAnsi="Times New Roman" w:eastAsia="黑体"/>
          <w:sz w:val="21"/>
          <w:szCs w:val="24"/>
          <w:highlight w:val="none"/>
          <w:lang w:val="zh-CN" w:eastAsia="zh-CN"/>
        </w:rPr>
        <w:t>图</w:t>
      </w:r>
    </w:p>
    <w:bookmarkEnd w:id="20"/>
    <w:p w14:paraId="2E028794">
      <w:pPr>
        <w:pStyle w:val="3"/>
        <w:keepNext w:val="0"/>
        <w:keepLines w:val="0"/>
        <w:pageBreakBefore w:val="0"/>
        <w:kinsoku/>
        <w:wordWrap/>
        <w:overflowPunct/>
        <w:topLinePunct w:val="0"/>
        <w:bidi w:val="0"/>
        <w:adjustRightInd/>
        <w:snapToGrid/>
        <w:spacing w:before="157" w:beforeLines="50" w:after="157" w:afterLines="50" w:line="240" w:lineRule="auto"/>
        <w:ind w:left="0" w:leftChars="0" w:firstLine="0" w:firstLineChars="0"/>
        <w:rPr>
          <w:rFonts w:ascii="Times New Roman" w:hAnsi="Times New Roman" w:eastAsia="Times New Roman"/>
          <w:strike/>
          <w:color w:val="000000" w:themeColor="text1"/>
          <w:highlight w:val="none"/>
          <w14:textFill>
            <w14:solidFill>
              <w14:schemeClr w14:val="tx1"/>
            </w14:solidFill>
          </w14:textFill>
        </w:rPr>
        <w:sectPr>
          <w:headerReference r:id="rId8" w:type="default"/>
          <w:footerReference r:id="rId9" w:type="default"/>
          <w:footerReference r:id="rId10" w:type="even"/>
          <w:pgSz w:w="11905" w:h="16840"/>
          <w:pgMar w:top="1700" w:right="1020" w:bottom="1300" w:left="1180" w:header="1448" w:footer="1113" w:gutter="0"/>
          <w:pgNumType w:start="1"/>
          <w:cols w:space="720" w:num="1"/>
        </w:sectPr>
      </w:pPr>
      <w:bookmarkStart w:id="21" w:name="_Toc501701529"/>
    </w:p>
    <w:bookmarkEnd w:id="21"/>
    <w:p w14:paraId="370CBF94">
      <w:pPr>
        <w:keepNext w:val="0"/>
        <w:keepLines w:val="0"/>
        <w:pageBreakBefore w:val="0"/>
        <w:tabs>
          <w:tab w:val="center" w:pos="0"/>
          <w:tab w:val="center" w:pos="4201"/>
          <w:tab w:val="right" w:leader="dot" w:pos="9298"/>
        </w:tabs>
        <w:kinsoku/>
        <w:wordWrap/>
        <w:overflowPunct/>
        <w:topLinePunct w:val="0"/>
        <w:bidi w:val="0"/>
        <w:adjustRightInd/>
        <w:snapToGrid/>
        <w:spacing w:before="157" w:beforeLines="50" w:after="157" w:afterLines="50" w:line="240" w:lineRule="auto"/>
        <w:jc w:val="center"/>
        <w:outlineLvl w:val="0"/>
        <w:rPr>
          <w:rFonts w:ascii="黑体" w:hAnsi="黑体" w:eastAsia="黑体" w:cs="宋体"/>
          <w:color w:val="000000" w:themeColor="text1"/>
          <w:szCs w:val="21"/>
          <w:highlight w:val="none"/>
          <w14:textFill>
            <w14:solidFill>
              <w14:schemeClr w14:val="tx1"/>
            </w14:solidFill>
          </w14:textFill>
        </w:rPr>
      </w:pPr>
      <w:bookmarkStart w:id="22" w:name="_Toc16858"/>
      <w:bookmarkStart w:id="23" w:name="_Toc9701"/>
      <w:bookmarkStart w:id="24" w:name="_Toc26118"/>
      <w:bookmarkStart w:id="25" w:name="_Toc27406"/>
      <w:bookmarkStart w:id="26" w:name="_Toc25047693"/>
      <w:bookmarkStart w:id="27" w:name="_Toc7443"/>
      <w:bookmarkStart w:id="28" w:name="_Toc15722"/>
      <w:bookmarkStart w:id="29" w:name="_Toc30293"/>
      <w:r>
        <w:rPr>
          <w:rFonts w:hint="eastAsia" w:ascii="黑体" w:hAnsi="黑体" w:eastAsia="黑体" w:cs="宋体"/>
          <w:color w:val="000000" w:themeColor="text1"/>
          <w:szCs w:val="21"/>
          <w:highlight w:val="none"/>
          <w14:textFill>
            <w14:solidFill>
              <w14:schemeClr w14:val="tx1"/>
            </w14:solidFill>
          </w14:textFill>
        </w:rPr>
        <w:t>参考文献</w:t>
      </w:r>
      <w:bookmarkEnd w:id="22"/>
      <w:bookmarkEnd w:id="23"/>
      <w:bookmarkEnd w:id="24"/>
      <w:bookmarkEnd w:id="25"/>
      <w:bookmarkEnd w:id="26"/>
      <w:bookmarkEnd w:id="27"/>
      <w:bookmarkEnd w:id="28"/>
      <w:bookmarkEnd w:id="29"/>
    </w:p>
    <w:p w14:paraId="3F9A9C15">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 全国人民代表大会常务委员会.中华人民共和国中医药法[M].北京:法律出版社,2017.</w:t>
      </w:r>
    </w:p>
    <w:p w14:paraId="0F369D69">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 国家药典委员会.中华人民共和国药典[M].北京:中国医药科技出版社,2020.</w:t>
      </w:r>
    </w:p>
    <w:p w14:paraId="4FB2D0DF">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 黄璐琦,郭兰萍,詹志来,等.中药材商品规格等级标准编制通则[S].北京:中国医药科技出社,2018.</w:t>
      </w:r>
    </w:p>
    <w:p w14:paraId="722990CD">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 彭成.中华道地药材[M].中国中医药出版社,2013.</w:t>
      </w:r>
    </w:p>
    <w:p w14:paraId="5175BA26">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 肖小河,黄璐琦.中药材商品规格标准化研究[M].人民卫生出版社,2016.</w:t>
      </w:r>
    </w:p>
    <w:p w14:paraId="3456FA0F">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 黄璐琦,詹志来,郭兰萍,等.中药材商品规格等级标准汇编[G].中国中医药出版社,2019.</w:t>
      </w:r>
    </w:p>
    <w:p w14:paraId="5492DB67">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 黄璐琦.道地药材品质保证技术研究[M].上海科学技术出版社,2017.</w:t>
      </w:r>
    </w:p>
    <w:p w14:paraId="40D6D3E7">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ascii="Times New Roman" w:hAnsi="Times New Roman"/>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[8] 黄璐琦.《新编中国药材学》[M].中国医药科技出版社,2020.</w:t>
      </w:r>
      <w:r>
        <w:rPr>
          <w:rFonts w:ascii="Times New Roman" w:hAnsi="Times New Roman"/>
        </w:rPr>
        <mc:AlternateContent>
          <mc:Choice Requires="wps">
            <w:drawing>
              <wp:anchor distT="0" distB="0" distL="114300" distR="114300" simplePos="0" relativeHeight="251669504" behindDoc="0" locked="0" layoutInCell="1" allowOverlap="1">
                <wp:simplePos x="0" y="0"/>
                <wp:positionH relativeFrom="column">
                  <wp:posOffset>1309370</wp:posOffset>
                </wp:positionH>
                <wp:positionV relativeFrom="paragraph">
                  <wp:posOffset>648335</wp:posOffset>
                </wp:positionV>
                <wp:extent cx="2857500" cy="0"/>
                <wp:effectExtent l="0" t="7620" r="0" b="11430"/>
                <wp:wrapNone/>
                <wp:docPr id="1" name="直接箭头连接符 1"/>
                <wp:cNvGraphicFramePr/>
                <a:graphic xmlns:a="http://schemas.openxmlformats.org/drawingml/2006/main">
                  <a:graphicData uri="http://schemas.microsoft.com/office/word/2010/wordprocessingShape">
                    <wps:wsp>
                      <wps:cNvCnPr/>
                      <wps:spPr>
                        <a:xfrm>
                          <a:off x="0" y="0"/>
                          <a:ext cx="2857500" cy="0"/>
                        </a:xfrm>
                        <a:prstGeom prst="straightConnector1">
                          <a:avLst/>
                        </a:prstGeom>
                        <a:ln w="158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03.1pt;margin-top:51.05pt;height:0pt;width:225pt;z-index:251669504;mso-width-relative:page;mso-height-relative:page;" filled="f" stroked="t" coordsize="21600,21600" o:gfxdata="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0QZUn1gAAAAsBAAAPAAAAAAAAAAEAIAAAACIAAABkcnMvZG93bnJldi54&#10;bWxQSwECFAAUAAAACACHTuJAshI6vPwBAADtAwAADgAAAAAAAAABACAAAAAlAQAAZHJzL2Uyb0Rv&#10;Yy54bWxQSwUGAAAAAAYABgBZAQAAkwUAAAAA&#10;">
                <v:fill on="f" focussize="0,0"/>
                <v:stroke weight="1.25pt" color="#000000" joinstyle="round"/>
                <v:imagedata o:title=""/>
                <o:lock v:ext="edit" aspectratio="f"/>
              </v:shape>
            </w:pict>
          </mc:Fallback>
        </mc:AlternateContent>
      </w:r>
    </w:p>
    <w:p w14:paraId="728383A6">
      <w:pPr>
        <w:keepNext w:val="0"/>
        <w:keepLines w:val="0"/>
        <w:pageBreakBefore w:val="0"/>
        <w:widowControl w:val="0"/>
        <w:kinsoku/>
        <w:wordWrap/>
        <w:overflowPunct/>
        <w:topLinePunct w:val="0"/>
        <w:autoSpaceDE/>
        <w:autoSpaceDN/>
        <w:bidi w:val="0"/>
        <w:adjustRightInd/>
        <w:snapToGrid/>
        <w:textAlignment w:val="auto"/>
        <w:rPr>
          <w:rFonts w:ascii="Times New Roman" w:hAnsi="Times New Roman"/>
          <w:color w:val="000000" w:themeColor="text1"/>
          <w14:textFill>
            <w14:solidFill>
              <w14:schemeClr w14:val="tx1"/>
            </w14:solidFill>
          </w14:textFill>
        </w:rPr>
      </w:pPr>
    </w:p>
    <w:p w14:paraId="1A3FF739">
      <w:pPr>
        <w:keepNext w:val="0"/>
        <w:keepLines w:val="0"/>
        <w:pageBreakBefore w:val="0"/>
        <w:widowControl w:val="0"/>
        <w:kinsoku/>
        <w:wordWrap/>
        <w:overflowPunct/>
        <w:topLinePunct w:val="0"/>
        <w:autoSpaceDE/>
        <w:autoSpaceDN/>
        <w:bidi w:val="0"/>
        <w:adjustRightInd/>
        <w:snapToGrid/>
        <w:textAlignment w:val="auto"/>
        <w:rPr>
          <w:color w:val="000000" w:themeColor="text1"/>
          <w14:textFill>
            <w14:solidFill>
              <w14:schemeClr w14:val="tx1"/>
            </w14:solidFill>
          </w14:textFill>
        </w:rPr>
      </w:pPr>
    </w:p>
    <w:p w14:paraId="6FBD7FBD">
      <w:pPr>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color w:val="000000" w:themeColor="text1"/>
          <w14:textFill>
            <w14:solidFill>
              <w14:schemeClr w14:val="tx1"/>
            </w14:solidFill>
          </w14:textFill>
        </w:rPr>
      </w:pPr>
    </w:p>
    <w:p w14:paraId="130C855B">
      <w:pPr>
        <w:keepNext w:val="0"/>
        <w:keepLines w:val="0"/>
        <w:pageBreakBefore w:val="0"/>
        <w:tabs>
          <w:tab w:val="left" w:pos="6408"/>
        </w:tabs>
        <w:kinsoku/>
        <w:wordWrap/>
        <w:overflowPunct/>
        <w:topLinePunct w:val="0"/>
        <w:bidi w:val="0"/>
        <w:adjustRightInd/>
        <w:snapToGrid/>
        <w:spacing w:before="157" w:beforeLines="50" w:beforeAutospacing="0" w:after="157" w:afterLines="50" w:afterAutospacing="0" w:line="240" w:lineRule="auto"/>
        <w:jc w:val="left"/>
        <w:rPr>
          <w:rFonts w:ascii="Times New Roman" w:hAnsi="Times New Roman"/>
          <w:color w:val="auto"/>
          <w:highlight w:val="none"/>
        </w:rPr>
      </w:pPr>
    </w:p>
    <w:p w14:paraId="4C7FC754">
      <w:pPr>
        <w:keepNext w:val="0"/>
        <w:keepLines w:val="0"/>
        <w:pageBreakBefore w:val="0"/>
        <w:tabs>
          <w:tab w:val="left" w:pos="6408"/>
        </w:tabs>
        <w:kinsoku/>
        <w:wordWrap/>
        <w:overflowPunct/>
        <w:topLinePunct w:val="0"/>
        <w:bidi w:val="0"/>
        <w:adjustRightInd/>
        <w:snapToGrid/>
        <w:spacing w:before="157" w:beforeLines="50" w:beforeAutospacing="0" w:after="157" w:afterLines="50" w:afterAutospacing="0" w:line="240" w:lineRule="auto"/>
        <w:jc w:val="left"/>
        <w:rPr>
          <w:rFonts w:ascii="Times New Roman" w:hAnsi="Times New Roman"/>
          <w:color w:val="000000" w:themeColor="text1"/>
          <w:highlight w:val="none"/>
          <w14:textFill>
            <w14:solidFill>
              <w14:schemeClr w14:val="tx1"/>
            </w14:solidFill>
          </w14:textFill>
        </w:rPr>
      </w:pPr>
    </w:p>
    <w:p w14:paraId="0366A5C5">
      <w:pPr>
        <w:keepNext w:val="0"/>
        <w:keepLines w:val="0"/>
        <w:pageBreakBefore w:val="0"/>
        <w:kinsoku/>
        <w:wordWrap/>
        <w:overflowPunct/>
        <w:topLinePunct w:val="0"/>
        <w:bidi w:val="0"/>
        <w:adjustRightInd/>
        <w:snapToGrid/>
        <w:spacing w:before="157" w:beforeLines="50" w:after="157" w:afterLines="50" w:line="240" w:lineRule="auto"/>
        <w:rPr>
          <w:color w:val="000000" w:themeColor="text1"/>
          <w:highlight w:val="none"/>
          <w14:textFill>
            <w14:solidFill>
              <w14:schemeClr w14:val="tx1"/>
            </w14:solidFill>
          </w14:textFill>
        </w:rPr>
      </w:pPr>
    </w:p>
    <w:sectPr>
      <w:footerReference r:id="rId11" w:type="default"/>
      <w:footerReference r:id="rId12" w:type="even"/>
      <w:pgSz w:w="11906" w:h="16838"/>
      <w:pgMar w:top="1417" w:right="1134" w:bottom="1134" w:left="1417" w:header="1134"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63D2E3">
    <w:pPr>
      <w:pStyle w:val="4"/>
      <w:ind w:firstLine="360"/>
      <w:jc w:val="right"/>
    </w:pPr>
    <w:r>
      <w:fldChar w:fldCharType="begin"/>
    </w:r>
    <w:r>
      <w:instrText xml:space="preserve"> PAGE   \* MERGEFORMAT </w:instrText>
    </w:r>
    <w:r>
      <w:fldChar w:fldCharType="separate"/>
    </w:r>
    <w:r>
      <w:rPr>
        <w:lang w:val="zh-CN"/>
      </w:rPr>
      <w:t>III</w:t>
    </w:r>
    <w:r>
      <w:rPr>
        <w:lang w:val="zh-CN"/>
      </w:rPr>
      <w:fldChar w:fldCharType="end"/>
    </w:r>
  </w:p>
  <w:p w14:paraId="7E1932A6">
    <w:pPr>
      <w:pStyle w:val="4"/>
      <w:ind w:left="-283" w:leftChars="-135"/>
      <w:jc w:val="right"/>
    </w:pPr>
  </w:p>
  <w:p w14:paraId="2B6346C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FC1FFF">
    <w:pPr>
      <w:pStyle w:val="4"/>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16</w:t>
    </w:r>
    <w:r>
      <w:rPr>
        <w:rFonts w:ascii="宋体" w:hAnsi="宋体"/>
      </w:rPr>
      <w:fldChar w:fldCharType="end"/>
    </w:r>
  </w:p>
  <w:p w14:paraId="4E9FEE68">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44FB0E">
    <w:pPr>
      <w:pStyle w:val="4"/>
      <w:ind w:firstLine="360"/>
      <w:jc w:val="right"/>
    </w:pPr>
    <w:r>
      <w:fldChar w:fldCharType="begin"/>
    </w:r>
    <w:r>
      <w:instrText xml:space="preserve"> PAGE   \* MERGEFORMAT </w:instrText>
    </w:r>
    <w:r>
      <w:fldChar w:fldCharType="separate"/>
    </w:r>
    <w:r>
      <w:rPr>
        <w:lang w:val="zh-CN"/>
      </w:rPr>
      <w:t>5</w:t>
    </w:r>
    <w:r>
      <w:rPr>
        <w:lang w:val="zh-CN"/>
      </w:rPr>
      <w:fldChar w:fldCharType="end"/>
    </w:r>
  </w:p>
  <w:p w14:paraId="46223163">
    <w:pPr>
      <w:pStyle w:val="4"/>
      <w:ind w:left="-283" w:leftChars="-135"/>
      <w:jc w:val="right"/>
    </w:pPr>
  </w:p>
  <w:p w14:paraId="413F7BE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338AF">
    <w:pPr>
      <w:pStyle w:val="4"/>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6</w:t>
    </w:r>
    <w:r>
      <w:rPr>
        <w:rFonts w:ascii="宋体" w:hAnsi="宋体"/>
        <w:lang w:val="zh-CN"/>
      </w:rPr>
      <w:fldChar w:fldCharType="end"/>
    </w:r>
  </w:p>
  <w:p w14:paraId="029F3310">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4F3F54">
    <w:pPr>
      <w:spacing w:line="200" w:lineRule="exact"/>
      <w:rPr>
        <w:sz w:val="20"/>
        <w:szCs w:val="20"/>
      </w:rPr>
    </w:pPr>
    <w:r>
      <mc:AlternateContent>
        <mc:Choice Requires="wps">
          <w:drawing>
            <wp:anchor distT="0" distB="0" distL="114300" distR="114300" simplePos="0" relativeHeight="251665408" behindDoc="1" locked="0" layoutInCell="1" allowOverlap="1">
              <wp:simplePos x="0" y="0"/>
              <wp:positionH relativeFrom="page">
                <wp:posOffset>6507480</wp:posOffset>
              </wp:positionH>
              <wp:positionV relativeFrom="page">
                <wp:posOffset>9830435</wp:posOffset>
              </wp:positionV>
              <wp:extent cx="255270" cy="2349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55270" cy="234950"/>
                      </a:xfrm>
                      <a:prstGeom prst="rect">
                        <a:avLst/>
                      </a:prstGeom>
                      <a:noFill/>
                      <a:ln>
                        <a:noFill/>
                      </a:ln>
                    </wps:spPr>
                    <wps:txbx>
                      <w:txbxContent>
                        <w:p w14:paraId="74BDF21D">
                          <w:pPr>
                            <w:spacing w:line="200" w:lineRule="exact"/>
                            <w:ind w:left="40"/>
                            <w:jc w:val="left"/>
                            <w:rPr>
                              <w:rFonts w:ascii="宋体" w:hAnsi="宋体" w:cs="宋体"/>
                              <w:sz w:val="18"/>
                              <w:szCs w:val="18"/>
                            </w:rPr>
                          </w:pPr>
                          <w:r>
                            <w:fldChar w:fldCharType="begin"/>
                          </w:r>
                          <w:r>
                            <w:rPr>
                              <w:rFonts w:ascii="宋体" w:hAnsi="宋体" w:cs="宋体"/>
                              <w:sz w:val="18"/>
                              <w:szCs w:val="18"/>
                            </w:rPr>
                            <w:instrText xml:space="preserve"> PAGE </w:instrText>
                          </w:r>
                          <w:r>
                            <w:fldChar w:fldCharType="separate"/>
                          </w:r>
                          <w:r>
                            <w:rPr>
                              <w:rFonts w:ascii="宋体" w:hAnsi="宋体" w:cs="宋体"/>
                              <w:sz w:val="18"/>
                              <w:szCs w:val="18"/>
                            </w:rPr>
                            <w:t>7</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74.05pt;height:18.5pt;width:20.1pt;mso-position-horizontal-relative:page;mso-position-vertical-relative:page;z-index:-251651072;mso-width-relative:page;mso-height-relative:page;" filled="f" stroked="f" coordsize="21600,21600" o:gfxdata="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KbCiNzbAAAADwEAAA8AAAAAAAAAAQAgAAAAIgAAAGRycy9kb3ducmV2LnhtbFBL&#10;AQIUABQAAAAIAIdO4kBQShuEugEAAHEDAAAOAAAAAAAAAAEAIAAAACoBAABkcnMvZTJvRG9jLnht&#10;bFBLBQYAAAAABgAGAFkBAABWBQAAAAA=&#10;">
              <v:fill on="f" focussize="0,0"/>
              <v:stroke on="f"/>
              <v:imagedata o:title=""/>
              <o:lock v:ext="edit" aspectratio="f"/>
              <v:textbox inset="0mm,0mm,0mm,0mm">
                <w:txbxContent>
                  <w:p w14:paraId="74BDF21D">
                    <w:pPr>
                      <w:spacing w:line="200" w:lineRule="exact"/>
                      <w:ind w:left="40"/>
                      <w:jc w:val="left"/>
                      <w:rPr>
                        <w:rFonts w:ascii="宋体" w:hAnsi="宋体" w:cs="宋体"/>
                        <w:sz w:val="18"/>
                        <w:szCs w:val="18"/>
                      </w:rPr>
                    </w:pPr>
                    <w:r>
                      <w:fldChar w:fldCharType="begin"/>
                    </w:r>
                    <w:r>
                      <w:rPr>
                        <w:rFonts w:ascii="宋体" w:hAnsi="宋体" w:cs="宋体"/>
                        <w:sz w:val="18"/>
                        <w:szCs w:val="18"/>
                      </w:rPr>
                      <w:instrText xml:space="preserve"> PAGE </w:instrText>
                    </w:r>
                    <w:r>
                      <w:fldChar w:fldCharType="separate"/>
                    </w:r>
                    <w:r>
                      <w:rPr>
                        <w:rFonts w:ascii="宋体" w:hAnsi="宋体" w:cs="宋体"/>
                        <w:sz w:val="18"/>
                        <w:szCs w:val="18"/>
                      </w:rPr>
                      <w:t>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349989"/>
    </w:sdtPr>
    <w:sdtContent>
      <w:p w14:paraId="0F890FD0">
        <w:pPr>
          <w:pStyle w:val="4"/>
        </w:pPr>
        <w:r>
          <w:fldChar w:fldCharType="begin"/>
        </w:r>
        <w:r>
          <w:instrText xml:space="preserve">PAGE   \* MERGEFORMAT</w:instrText>
        </w:r>
        <w:r>
          <w:fldChar w:fldCharType="separate"/>
        </w:r>
        <w:r>
          <w:rPr>
            <w:lang w:val="zh-CN"/>
          </w:rPr>
          <w:t>8</w:t>
        </w:r>
        <w:r>
          <w:fldChar w:fldCharType="end"/>
        </w:r>
      </w:p>
    </w:sdtContent>
  </w:sdt>
  <w:p w14:paraId="20B12385">
    <w:pPr>
      <w:spacing w:line="200" w:lineRule="exact"/>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4ADCCD">
    <w:pPr>
      <w:pStyle w:val="19"/>
      <w:rPr>
        <w:rFonts w:ascii="黑体" w:hAnsi="黑体" w:eastAsia="黑体"/>
        <w:sz w:val="21"/>
        <w:szCs w:val="21"/>
      </w:rPr>
    </w:pPr>
    <w:r>
      <w:rPr>
        <w:sz w:val="21"/>
      </w:rPr>
      <mc:AlternateContent>
        <mc:Choice Requires="wps">
          <w:drawing>
            <wp:anchor distT="0" distB="0" distL="114300" distR="114300" simplePos="0" relativeHeight="251662336" behindDoc="0" locked="0" layoutInCell="1" allowOverlap="1">
              <wp:simplePos x="0" y="0"/>
              <wp:positionH relativeFrom="margin">
                <wp:align>inside</wp:align>
              </wp:positionH>
              <wp:positionV relativeFrom="paragraph">
                <wp:posOffset>0</wp:posOffset>
              </wp:positionV>
              <wp:extent cx="1828800" cy="1828800"/>
              <wp:effectExtent l="0" t="0" r="0" b="0"/>
              <wp:wrapNone/>
              <wp:docPr id="4" name="Text Box 4"/>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16386546">
                          <w:pPr>
                            <w:pStyle w:val="5"/>
                          </w:pPr>
                          <w:r>
                            <w:fldChar w:fldCharType="begin"/>
                          </w:r>
                          <w:r>
                            <w:instrText xml:space="preserve"> PAGE  \* MERGEFORMAT </w:instrText>
                          </w:r>
                          <w:r>
                            <w:fldChar w:fldCharType="separate"/>
                          </w:r>
                          <w:r>
                            <w:t>I</w:t>
                          </w:r>
                          <w: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44pt;width:144pt;mso-position-horizontal:in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O&#10;qXm5zwAAAAUBAAAPAAAAAAAAAAEAIAAAACIAAABkcnMvZG93bnJldi54bWxQSwECFAAUAAAACACH&#10;TuJAfIm5D/QBAAADBAAADgAAAAAAAAABACAAAAAeAQAAZHJzL2Uyb0RvYy54bWxQSwUGAAAAAAYA&#10;BgBZAQAAhAUAAAAA&#10;">
              <v:fill on="f" focussize="0,0"/>
              <v:stroke on="f"/>
              <v:imagedata o:title=""/>
              <o:lock v:ext="edit" aspectratio="f"/>
              <v:textbox inset="0mm,0mm,0mm,0mm" style="mso-fit-shape-to-text:t;">
                <w:txbxContent>
                  <w:p w14:paraId="16386546">
                    <w:pPr>
                      <w:pStyle w:val="5"/>
                    </w:pPr>
                    <w:r>
                      <w:fldChar w:fldCharType="begin"/>
                    </w:r>
                    <w:r>
                      <w:instrText xml:space="preserve"> PAGE  \* MERGEFORMAT </w:instrText>
                    </w:r>
                    <w:r>
                      <w:fldChar w:fldCharType="separate"/>
                    </w:r>
                    <w:r>
                      <w:t>I</w:t>
                    </w:r>
                    <w:r>
                      <w:fldChar w:fldCharType="end"/>
                    </w:r>
                  </w:p>
                </w:txbxContent>
              </v:textbox>
            </v:shape>
          </w:pict>
        </mc:Fallback>
      </mc:AlternateContent>
    </w:r>
    <w:r>
      <w:rPr>
        <w:rFonts w:ascii="黑体" w:hAnsi="黑体" w:eastAsia="黑体"/>
        <w:sz w:val="21"/>
        <w:szCs w:val="21"/>
      </w:rPr>
      <w:t>RB 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C169B4">
    <w:pPr>
      <w:pStyle w:val="5"/>
      <w:pBdr>
        <w:bottom w:val="none" w:color="auto" w:sz="0" w:space="1"/>
      </w:pBdr>
      <w:jc w:val="left"/>
    </w:pPr>
    <w:r>
      <w:rPr>
        <w:rFonts w:hint="eastAsia" w:ascii="黑体" w:hAnsi="黑体" w:eastAsia="黑体"/>
        <w:sz w:val="21"/>
        <w:szCs w:val="21"/>
        <w:highlight w:val="none"/>
        <w:lang w:val="en-US" w:eastAsia="zh-CN"/>
      </w:rPr>
      <w:t>T</w:t>
    </w:r>
    <w:r>
      <w:rPr>
        <w:rFonts w:hint="eastAsia" w:ascii="黑体" w:hAnsi="黑体" w:eastAsia="黑体"/>
        <w:sz w:val="21"/>
        <w:szCs w:val="21"/>
        <w:highlight w:val="none"/>
      </w:rPr>
      <w:t>/ZGXCFZXH</w:t>
    </w:r>
    <w:r>
      <w:rPr>
        <w:rFonts w:ascii="黑体" w:hAnsi="黑体" w:eastAsia="黑体"/>
        <w:sz w:val="21"/>
        <w:szCs w:val="21"/>
        <w:highlight w:val="none"/>
      </w:rPr>
      <w:t xml:space="preserve"> </w:t>
    </w:r>
    <w:r>
      <w:rPr>
        <w:rFonts w:hint="eastAsia" w:ascii="黑体" w:hAnsi="黑体" w:eastAsia="黑体"/>
        <w:sz w:val="21"/>
        <w:szCs w:val="21"/>
        <w:highlight w:val="none"/>
        <w:lang w:val="en-US" w:eastAsia="zh-CN"/>
      </w:rPr>
      <w:t>0001.6-2024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1676A">
    <w:r>
      <mc:AlternateContent>
        <mc:Choice Requires="wps">
          <w:drawing>
            <wp:anchor distT="0" distB="0" distL="114300" distR="114300" simplePos="0" relativeHeight="251664384" behindDoc="0" locked="0" layoutInCell="1" allowOverlap="1">
              <wp:simplePos x="0" y="0"/>
              <wp:positionH relativeFrom="margin">
                <wp:align>inside</wp:align>
              </wp:positionH>
              <wp:positionV relativeFrom="paragraph">
                <wp:posOffset>0</wp:posOffset>
              </wp:positionV>
              <wp:extent cx="58420" cy="161925"/>
              <wp:effectExtent l="0" t="0" r="0" b="0"/>
              <wp:wrapNone/>
              <wp:docPr id="3" name="Text Box 1"/>
              <wp:cNvGraphicFramePr/>
              <a:graphic xmlns:a="http://schemas.openxmlformats.org/drawingml/2006/main">
                <a:graphicData uri="http://schemas.microsoft.com/office/word/2010/wordprocessingShape">
                  <wps:wsp>
                    <wps:cNvSpPr txBox="1">
                      <a:spLocks noChangeArrowheads="1"/>
                    </wps:cNvSpPr>
                    <wps:spPr bwMode="auto">
                      <a:xfrm>
                        <a:off x="0" y="0"/>
                        <a:ext cx="58420" cy="161925"/>
                      </a:xfrm>
                      <a:prstGeom prst="rect">
                        <a:avLst/>
                      </a:prstGeom>
                      <a:noFill/>
                      <a:ln>
                        <a:noFill/>
                      </a:ln>
                    </wps:spPr>
                    <wps:txbx>
                      <w:txbxContent>
                        <w:p w14:paraId="094D2C2F">
                          <w:pPr>
                            <w:pStyle w:val="5"/>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2.75pt;width:4.6pt;mso-position-horizontal:inside;mso-position-horizontal-relative:margin;mso-wrap-style:none;z-index:251664384;mso-width-relative:page;mso-height-relative:page;" filled="f" stroked="f" coordsize="21600,21600" o:gfxdata="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icHeo0QAAAAIBAAAPAAAAAAAAAAEAIAAAACIAAABkcnMvZG93bnJldi54bWxQSwECFAAU&#10;AAAACACHTuJAI46PA/gBAAAABAAADgAAAAAAAAABACAAAAAgAQAAZHJzL2Uyb0RvYy54bWxQSwUG&#10;AAAAAAYABgBZAQAAigUAAAAA&#10;">
              <v:fill on="f" focussize="0,0"/>
              <v:stroke on="f"/>
              <v:imagedata o:title=""/>
              <o:lock v:ext="edit" aspectratio="f"/>
              <v:textbox inset="0mm,0mm,0mm,0mm" style="mso-fit-shape-to-text:t;">
                <w:txbxContent>
                  <w:p w14:paraId="094D2C2F">
                    <w:pPr>
                      <w:pStyle w:val="5"/>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 xml:space="preserve">RB/T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890379">
    <w:pPr>
      <w:pStyle w:val="5"/>
      <w:pBdr>
        <w:bottom w:val="none" w:color="auto" w:sz="0" w:space="1"/>
      </w:pBdr>
      <w:jc w:val="right"/>
      <w:rPr>
        <w:rFonts w:hint="default" w:eastAsia="黑体"/>
        <w:highlight w:val="none"/>
        <w:lang w:val="en-US" w:eastAsia="zh-CN"/>
      </w:rPr>
    </w:pPr>
    <w:r>
      <w:rPr>
        <w:rFonts w:hint="eastAsia" w:ascii="黑体" w:hAnsi="黑体" w:eastAsia="黑体"/>
        <w:sz w:val="21"/>
        <w:szCs w:val="21"/>
        <w:highlight w:val="none"/>
        <w:lang w:val="en-US" w:eastAsia="zh-CN"/>
      </w:rPr>
      <w:t>T</w:t>
    </w:r>
    <w:r>
      <w:rPr>
        <w:rFonts w:hint="eastAsia" w:ascii="黑体" w:hAnsi="黑体" w:eastAsia="黑体"/>
        <w:sz w:val="21"/>
        <w:szCs w:val="21"/>
        <w:highlight w:val="none"/>
      </w:rPr>
      <w:t>/ZGXCFZXH</w:t>
    </w:r>
    <w:r>
      <w:rPr>
        <w:rFonts w:ascii="黑体" w:hAnsi="黑体" w:eastAsia="黑体"/>
        <w:sz w:val="21"/>
        <w:szCs w:val="21"/>
        <w:highlight w:val="none"/>
      </w:rPr>
      <w:t xml:space="preserve"> </w:t>
    </w:r>
    <w:r>
      <w:rPr>
        <w:rFonts w:hint="eastAsia" w:ascii="黑体" w:hAnsi="黑体" w:eastAsia="黑体"/>
        <w:sz w:val="21"/>
        <w:szCs w:val="21"/>
        <w:highlight w:val="none"/>
        <w:lang w:val="en-US" w:eastAsia="zh-CN"/>
      </w:rPr>
      <w:t>0001.6-2024</w:t>
    </w:r>
  </w:p>
  <w:p w14:paraId="22ED08EB">
    <w:pPr>
      <w:pStyle w:val="5"/>
      <w:pBdr>
        <w:bottom w:val="none" w:color="auto" w:sz="0" w:space="1"/>
      </w:pBdr>
      <w:jc w:val="right"/>
      <w:rPr>
        <w:highlight w:val="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zNThhZGZiODc5NTE3ODAxMDU0YWNiOGMyYThjMmYifQ=="/>
  </w:docVars>
  <w:rsids>
    <w:rsidRoot w:val="15B2766E"/>
    <w:rsid w:val="014D33A0"/>
    <w:rsid w:val="04824F12"/>
    <w:rsid w:val="058D2621"/>
    <w:rsid w:val="07D478A0"/>
    <w:rsid w:val="08C958B9"/>
    <w:rsid w:val="0BCB720C"/>
    <w:rsid w:val="0D3562AD"/>
    <w:rsid w:val="0D410D78"/>
    <w:rsid w:val="0F5B4C3E"/>
    <w:rsid w:val="12031CE0"/>
    <w:rsid w:val="14754D61"/>
    <w:rsid w:val="15B2766E"/>
    <w:rsid w:val="17410B14"/>
    <w:rsid w:val="186662F2"/>
    <w:rsid w:val="191020D3"/>
    <w:rsid w:val="19733042"/>
    <w:rsid w:val="1A7A7A3E"/>
    <w:rsid w:val="1AAF290F"/>
    <w:rsid w:val="1AB31174"/>
    <w:rsid w:val="1B5A68E3"/>
    <w:rsid w:val="1B78507E"/>
    <w:rsid w:val="1BC120A0"/>
    <w:rsid w:val="1BF35691"/>
    <w:rsid w:val="1C6763FF"/>
    <w:rsid w:val="1C8675B7"/>
    <w:rsid w:val="1E861C86"/>
    <w:rsid w:val="1FBD5C90"/>
    <w:rsid w:val="1FC46101"/>
    <w:rsid w:val="23492C57"/>
    <w:rsid w:val="234C63E8"/>
    <w:rsid w:val="26182701"/>
    <w:rsid w:val="28550131"/>
    <w:rsid w:val="2A0F5759"/>
    <w:rsid w:val="2A753B73"/>
    <w:rsid w:val="2AF75E4C"/>
    <w:rsid w:val="2B5877C3"/>
    <w:rsid w:val="2E455E47"/>
    <w:rsid w:val="2F0B607A"/>
    <w:rsid w:val="30463F0C"/>
    <w:rsid w:val="33365C79"/>
    <w:rsid w:val="34002407"/>
    <w:rsid w:val="39455658"/>
    <w:rsid w:val="398E66CE"/>
    <w:rsid w:val="3AFD343F"/>
    <w:rsid w:val="3B9A45E4"/>
    <w:rsid w:val="3D7B4F58"/>
    <w:rsid w:val="40D2200A"/>
    <w:rsid w:val="41BD0726"/>
    <w:rsid w:val="432450BB"/>
    <w:rsid w:val="44E07486"/>
    <w:rsid w:val="45116B31"/>
    <w:rsid w:val="45C767DD"/>
    <w:rsid w:val="46566D64"/>
    <w:rsid w:val="46F26A10"/>
    <w:rsid w:val="47404691"/>
    <w:rsid w:val="474451A1"/>
    <w:rsid w:val="477F20DC"/>
    <w:rsid w:val="47AE6527"/>
    <w:rsid w:val="49262743"/>
    <w:rsid w:val="4A7B2700"/>
    <w:rsid w:val="4A8F3481"/>
    <w:rsid w:val="4AA76679"/>
    <w:rsid w:val="4AA85DD1"/>
    <w:rsid w:val="4E1C64F6"/>
    <w:rsid w:val="4E4B6454"/>
    <w:rsid w:val="4F145070"/>
    <w:rsid w:val="502C6F7C"/>
    <w:rsid w:val="5073598C"/>
    <w:rsid w:val="522A30F1"/>
    <w:rsid w:val="524467E0"/>
    <w:rsid w:val="53F54BD9"/>
    <w:rsid w:val="548A1ADB"/>
    <w:rsid w:val="54D75B96"/>
    <w:rsid w:val="554149BF"/>
    <w:rsid w:val="556B21D1"/>
    <w:rsid w:val="56121E41"/>
    <w:rsid w:val="56694C24"/>
    <w:rsid w:val="5703527B"/>
    <w:rsid w:val="58447ACB"/>
    <w:rsid w:val="595A2602"/>
    <w:rsid w:val="5B383785"/>
    <w:rsid w:val="5D2D6150"/>
    <w:rsid w:val="5D4F249B"/>
    <w:rsid w:val="5EB12AF7"/>
    <w:rsid w:val="5F8A1E93"/>
    <w:rsid w:val="60D31D71"/>
    <w:rsid w:val="628458B4"/>
    <w:rsid w:val="63CA2F0F"/>
    <w:rsid w:val="64BB30F8"/>
    <w:rsid w:val="653E6E26"/>
    <w:rsid w:val="6655667C"/>
    <w:rsid w:val="66A771C2"/>
    <w:rsid w:val="66D45FDB"/>
    <w:rsid w:val="68600824"/>
    <w:rsid w:val="69730B47"/>
    <w:rsid w:val="69D179AF"/>
    <w:rsid w:val="6A2F019B"/>
    <w:rsid w:val="6CE56E5C"/>
    <w:rsid w:val="6FEC7033"/>
    <w:rsid w:val="705A72A6"/>
    <w:rsid w:val="71281202"/>
    <w:rsid w:val="712A66B5"/>
    <w:rsid w:val="716B7FE9"/>
    <w:rsid w:val="71D36D7A"/>
    <w:rsid w:val="723A4E05"/>
    <w:rsid w:val="74313CC7"/>
    <w:rsid w:val="746F2FAE"/>
    <w:rsid w:val="75A22410"/>
    <w:rsid w:val="75C90F16"/>
    <w:rsid w:val="76003CEA"/>
    <w:rsid w:val="76031347"/>
    <w:rsid w:val="76767EA5"/>
    <w:rsid w:val="78B662FB"/>
    <w:rsid w:val="78FC11DC"/>
    <w:rsid w:val="799A349C"/>
    <w:rsid w:val="79AF141A"/>
    <w:rsid w:val="7BB248D9"/>
    <w:rsid w:val="7C005C58"/>
    <w:rsid w:val="7C787A3E"/>
    <w:rsid w:val="7C792994"/>
    <w:rsid w:val="7D052701"/>
    <w:rsid w:val="7F17164D"/>
    <w:rsid w:val="7F8D6B2E"/>
    <w:rsid w:val="7FEC7F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autoRedefine/>
    <w:qFormat/>
    <w:uiPriority w:val="0"/>
    <w:rPr>
      <w:rFonts w:ascii="Times New Roman" w:hAnsi="Times New Roman" w:eastAsia="微软雅黑"/>
      <w:sz w:val="21"/>
    </w:rPr>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annotation text"/>
    <w:basedOn w:val="1"/>
    <w:autoRedefine/>
    <w:qFormat/>
    <w:uiPriority w:val="0"/>
    <w:pPr>
      <w:jc w:val="left"/>
    </w:pPr>
  </w:style>
  <w:style w:type="paragraph" w:styleId="3">
    <w:name w:val="Body Text"/>
    <w:basedOn w:val="1"/>
    <w:autoRedefine/>
    <w:qFormat/>
    <w:uiPriority w:val="1"/>
    <w:pPr>
      <w:spacing w:before="100" w:beforeLines="100" w:after="100" w:afterLines="100"/>
      <w:ind w:left="0" w:firstLine="420" w:firstLineChars="200"/>
    </w:pPr>
    <w:rPr>
      <w:rFonts w:ascii="宋体" w:hAnsi="宋体"/>
      <w:sz w:val="28"/>
      <w:szCs w:val="21"/>
    </w:rPr>
  </w:style>
  <w:style w:type="paragraph" w:styleId="4">
    <w:name w:val="footer"/>
    <w:basedOn w:val="1"/>
    <w:autoRedefine/>
    <w:qFormat/>
    <w:uiPriority w:val="99"/>
    <w:pPr>
      <w:tabs>
        <w:tab w:val="center" w:pos="4153"/>
        <w:tab w:val="right" w:pos="8306"/>
      </w:tabs>
      <w:snapToGrid w:val="0"/>
      <w:jc w:val="left"/>
    </w:pPr>
    <w:rPr>
      <w:kern w:val="0"/>
      <w:sz w:val="18"/>
      <w:szCs w:val="18"/>
    </w:rPr>
  </w:style>
  <w:style w:type="paragraph" w:styleId="5">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autoRedefine/>
    <w:qFormat/>
    <w:uiPriority w:val="39"/>
  </w:style>
  <w:style w:type="paragraph" w:styleId="7">
    <w:name w:val="toc 2"/>
    <w:basedOn w:val="1"/>
    <w:next w:val="1"/>
    <w:autoRedefine/>
    <w:qFormat/>
    <w:uiPriority w:val="39"/>
    <w:pPr>
      <w:ind w:left="420" w:leftChars="200"/>
    </w:pPr>
  </w:style>
  <w:style w:type="paragraph" w:styleId="8">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11">
    <w:name w:val="Hyperlink"/>
    <w:autoRedefine/>
    <w:unhideWhenUsed/>
    <w:qFormat/>
    <w:uiPriority w:val="99"/>
    <w:rPr>
      <w:color w:val="0000FF"/>
      <w:u w:val="none"/>
    </w:rPr>
  </w:style>
  <w:style w:type="paragraph" w:customStyle="1" w:styleId="12">
    <w:name w:val="测试1"/>
    <w:basedOn w:val="1"/>
    <w:autoRedefine/>
    <w:qFormat/>
    <w:uiPriority w:val="0"/>
    <w:pPr>
      <w:widowControl/>
      <w:spacing w:after="100" w:afterLines="100"/>
      <w:ind w:firstLine="420" w:firstLineChars="200"/>
      <w:jc w:val="left"/>
    </w:pPr>
    <w:rPr>
      <w:rFonts w:hint="eastAsia" w:ascii="宋体" w:hAnsi="宋体" w:cs="宋体"/>
      <w:color w:val="000000"/>
      <w:kern w:val="0"/>
      <w:sz w:val="28"/>
      <w:szCs w:val="28"/>
      <w:lang w:bidi="ar"/>
    </w:rPr>
  </w:style>
  <w:style w:type="paragraph" w:customStyle="1" w:styleId="13">
    <w:name w:val="实施日期"/>
    <w:basedOn w:val="14"/>
    <w:autoRedefine/>
    <w:qFormat/>
    <w:uiPriority w:val="0"/>
    <w:pPr>
      <w:framePr w:wrap="around" w:vAnchor="page" w:hAnchor="text"/>
      <w:jc w:val="right"/>
    </w:pPr>
  </w:style>
  <w:style w:type="paragraph" w:customStyle="1" w:styleId="14">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5">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Times New Roman" w:cs="Times New Roman"/>
      <w:sz w:val="21"/>
      <w:lang w:val="en-US" w:eastAsia="zh-CN" w:bidi="ar-SA"/>
    </w:rPr>
  </w:style>
  <w:style w:type="paragraph" w:customStyle="1" w:styleId="16">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7">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8">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19">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0">
    <w:name w:val="发布部门"/>
    <w:next w:val="1"/>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2.jpeg"/><Relationship Id="rId14" Type="http://schemas.openxmlformats.org/officeDocument/2006/relationships/image" Target="media/image1.jpeg"/><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2114</Words>
  <Characters>2627</Characters>
  <Lines>0</Lines>
  <Paragraphs>0</Paragraphs>
  <TotalTime>0</TotalTime>
  <ScaleCrop>false</ScaleCrop>
  <LinksUpToDate>false</LinksUpToDate>
  <CharactersWithSpaces>2696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2024-04-07T02:30:00Z</dcterms:created>
  <dc:creator>王琦</dc:creator>
  <cp:lastModifiedBy>杨～有机认证</cp:lastModifiedBy>
  <dcterms:modified xsi:type="dcterms:W3CDTF">2024-11-20T09:00:48Z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E0A86F535B1241FA8A3EC7E60779A85F_13</vt:lpwstr>
  </property>
</Properties>
</file>