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D26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2635D2">
                            <w:pPr>
                              <w:pStyle w:val="18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44654D25">
                            <w:pPr>
                              <w:pStyle w:val="18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27451127">
                            <w:pPr>
                              <w:pStyle w:val="18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3A6FBB0A">
                            <w:pPr>
                              <w:pStyle w:val="18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22635D2">
                      <w:pPr>
                        <w:pStyle w:val="18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44654D25">
                      <w:pPr>
                        <w:pStyle w:val="18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27451127">
                      <w:pPr>
                        <w:pStyle w:val="18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3A6FBB0A">
                      <w:pPr>
                        <w:pStyle w:val="18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8E26E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4D8478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491490</wp:posOffset>
                </wp:positionV>
                <wp:extent cx="6120130" cy="0"/>
                <wp:effectExtent l="0" t="4445" r="4445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38.7pt;height:0pt;width:481.9pt;z-index:251662336;mso-width-relative:page;mso-height-relative:page;" filled="f" stroked="t" coordsize="21600,21600" o:gfxdata="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qRdgpdgAAAAJAQAADwAAAAAAAAABACAA&#10;AAAiAAAAZHJzL2Rvd25yZXYueG1sUEsBAhQAFAAAAAgAh07iQF92Of3UAQAAswMAAA4AAAAAAAAA&#10;AQAgAAAAJw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ACF198">
                            <w:pPr>
                              <w:pStyle w:val="18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CACF198">
                      <w:pPr>
                        <w:pStyle w:val="18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F549AF">
                            <w:pPr>
                              <w:pStyle w:val="19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5F549AF">
                      <w:pPr>
                        <w:pStyle w:val="19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-179705</wp:posOffset>
                </wp:positionH>
                <wp:positionV relativeFrom="margin">
                  <wp:posOffset>853440</wp:posOffset>
                </wp:positionV>
                <wp:extent cx="6120130" cy="539750"/>
                <wp:effectExtent l="0" t="0" r="4445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A068C4">
                            <w:pPr>
                              <w:pStyle w:val="20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0001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.16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-2024</w:t>
                            </w:r>
                          </w:p>
                          <w:p w14:paraId="3782A012">
                            <w:pPr>
                              <w:pStyle w:val="20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4.15pt;margin-top:67.2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JUkBsnaAAAACwEAAA8AAAAAAAAA&#10;AQAgAAAAIgAAAGRycy9kb3ducmV2LnhtbFBLAQIUABQAAAAIAIdO4kCWAdgODwIAACw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7A068C4">
                      <w:pPr>
                        <w:pStyle w:val="20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0001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.16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-2024</w:t>
                      </w:r>
                    </w:p>
                    <w:p w14:paraId="3782A012">
                      <w:pPr>
                        <w:pStyle w:val="20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298D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 w:line="240" w:lineRule="auto"/>
        <w:jc w:val="center"/>
        <w:textAlignment w:val="auto"/>
        <w:rPr>
          <w:rFonts w:hint="eastAsia" w:ascii="黑体" w:hAnsi="黑体" w:eastAsia="黑体"/>
          <w:bCs/>
          <w:color w:val="000000"/>
          <w:sz w:val="52"/>
          <w:szCs w:val="52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>药材集采交易标准</w: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 xml:space="preserve"> 川</w:t>
      </w:r>
      <w:r>
        <w:rPr>
          <w:rFonts w:hint="eastAsia" w:ascii="黑体" w:hAnsi="黑体" w:eastAsia="黑体"/>
          <w:bCs/>
          <w:color w:val="000000"/>
          <w:sz w:val="52"/>
          <w:szCs w:val="52"/>
          <w:highlight w:val="none"/>
          <w:lang w:val="en-US" w:eastAsia="zh-CN"/>
        </w:rPr>
        <w:t>黄连</w:t>
      </w:r>
    </w:p>
    <w:p w14:paraId="24E413A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71FE8F85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left="0" w:right="0" w:firstLine="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Coptis chinensis Franch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57BE4E1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bookmarkStart w:id="36" w:name="_GoBack"/>
      <w:bookmarkEnd w:id="36"/>
    </w:p>
    <w:p w14:paraId="11A225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center"/>
        <w:rPr>
          <w:rFonts w:hint="eastAsia" w:ascii="黑体" w:hAnsi="黑体" w:eastAsia="黑体"/>
          <w:bCs/>
          <w:color w:val="000000"/>
          <w:sz w:val="52"/>
          <w:szCs w:val="52"/>
          <w:highlight w:val="none"/>
          <w:lang w:val="en-US" w:eastAsia="zh-CN"/>
        </w:rPr>
      </w:pPr>
    </w:p>
    <w:p w14:paraId="284322E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center"/>
        <w:rPr>
          <w:rFonts w:ascii="宋体" w:hAnsi="宋体"/>
          <w:bCs/>
          <w:color w:val="FF0000"/>
          <w:sz w:val="24"/>
        </w:rPr>
      </w:pPr>
    </w:p>
    <w:p w14:paraId="79728E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rPr>
          <w:rFonts w:ascii="宋体" w:hAnsi="宋体"/>
          <w:bCs/>
          <w:color w:val="000000"/>
          <w:sz w:val="36"/>
          <w:szCs w:val="36"/>
        </w:rPr>
      </w:pPr>
    </w:p>
    <w:p w14:paraId="634536A8">
      <w:pPr>
        <w:pStyle w:val="14"/>
        <w:keepNext w:val="0"/>
        <w:keepLines w:val="0"/>
        <w:pageBreakBefore w:val="0"/>
        <w:framePr w:wrap="around" w:vAnchor="margin" w:yAlign="top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left="5250" w:right="280"/>
        <w:rPr>
          <w:color w:val="000000"/>
        </w:rPr>
      </w:pPr>
    </w:p>
    <w:p w14:paraId="2F2181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8408035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3032EE0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5093F97">
                                  <w:pPr>
                                    <w:pStyle w:val="21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80055E3">
                                  <w:pPr>
                                    <w:pStyle w:val="21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384CF1E8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2.0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FQ00A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3032EE0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5093F97">
                            <w:pPr>
                              <w:pStyle w:val="21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80055E3">
                            <w:pPr>
                              <w:pStyle w:val="21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384CF1E8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margin">
                  <wp:posOffset>4347845</wp:posOffset>
                </wp:positionH>
                <wp:positionV relativeFrom="margin">
                  <wp:posOffset>8096250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93EB18D">
                            <w:pPr>
                              <w:pStyle w:val="15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42.35pt;margin-top:637.5pt;height:24.6pt;width:159pt;mso-position-horizontal-relative:margin;mso-position-vertical-relative:margin;z-index:251666432;mso-width-relative:page;mso-height-relative:page;" fillcolor="#FFFFFF" filled="t" stroked="f" coordsize="21600,21600" o:gfxdata="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oIHa9oAAAAO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93EB18D">
                      <w:pPr>
                        <w:pStyle w:val="15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8091805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172E79">
                            <w:pPr>
                              <w:pStyle w:val="15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7.1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QOERLbAAAADQEAAA8AAAAAAAAA&#10;AQAgAAAAIgAAAGRycy9kb3ducmV2LnhtbFBLAQIUABQAAAAIAIdO4kBwRvrSDgIAACs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4172E79">
                      <w:pPr>
                        <w:pStyle w:val="15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8F7D5FD">
      <w:pPr>
        <w:keepNext w:val="0"/>
        <w:keepLines w:val="0"/>
        <w:pageBreakBefore w:val="0"/>
        <w:tabs>
          <w:tab w:val="left" w:pos="1305"/>
        </w:tabs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fmt="decimal"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1258570</wp:posOffset>
                </wp:positionV>
                <wp:extent cx="6120130" cy="0"/>
                <wp:effectExtent l="0" t="4445" r="4445" b="5080"/>
                <wp:wrapNone/>
                <wp:docPr id="1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99.1pt;height:0pt;width:481.9pt;z-index:251668480;mso-width-relative:page;mso-height-relative:page;" filled="f" stroked="t" coordsize="21600,21600" o:gfxdata="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BiqA8D/zLPkGpLBZZnjFSzVHr&#10;sMVMUB/DU3wE/YtEgPWgQm9K8PMpcu4sZ1R/pWSDIhfZjd+g5RjF+EWrY4c+Q7IK4lhGcrqNxByT&#10;0Py4mLEuH3la+uqrVH1NjEjpqwEv8qWRlFDZfkhrCIEHDzgrZdThkVJuS9XXhFw1wIN1rszfBTE2&#10;8vPd/K4kEDjbZmcOI+x3a4fioPIGla9wZM/LMIR9aM9FXLhIkFmf9dtBe9riVRoeZenmsnZ5V17a&#10;JfvPr7b6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QYpBfXAAAACwEAAA8AAAAAAAAAAQAgAAAA&#10;IgAAAGRycy9kb3ducmV2LnhtbFBLAQIUABQAAAAIAIdO4kAOFi7p0wEAALI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98CFCD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7349"/>
      <w:bookmarkStart w:id="1" w:name="_Toc29175"/>
      <w:bookmarkStart w:id="2" w:name="_Toc5123"/>
      <w:bookmarkStart w:id="3" w:name="_Toc21586"/>
      <w:bookmarkStart w:id="4" w:name="_Toc19640"/>
      <w:bookmarkStart w:id="5" w:name="_Toc5094"/>
      <w:bookmarkStart w:id="6" w:name="_Toc13900"/>
      <w:bookmarkStart w:id="7" w:name="_Toc18223"/>
      <w:bookmarkStart w:id="8" w:name="_Toc30137"/>
      <w:bookmarkStart w:id="9" w:name="_Toc26541137"/>
      <w:bookmarkStart w:id="10" w:name="_Toc11998"/>
      <w:bookmarkStart w:id="11" w:name="_Toc840"/>
      <w:bookmarkStart w:id="12" w:name="_Toc18100"/>
      <w:bookmarkStart w:id="13" w:name="_Toc23109710"/>
      <w:bookmarkStart w:id="14" w:name="_Toc16010"/>
      <w:bookmarkStart w:id="15" w:name="_Toc31551"/>
      <w:bookmarkStart w:id="16" w:name="_Toc13472"/>
      <w:bookmarkStart w:id="17" w:name="_Toc32599"/>
      <w:bookmarkStart w:id="18" w:name="_Toc26679"/>
      <w:bookmarkStart w:id="19" w:name="_Toc22401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356C3B57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0DCBF1AA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本标准由中国</w:t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乡村发展协会</w:t>
      </w:r>
      <w:r>
        <w:rPr>
          <w:rFonts w:hint="eastAsia" w:ascii="宋体" w:hAnsi="宋体" w:eastAsia="宋体"/>
          <w:color w:val="000000"/>
          <w:sz w:val="21"/>
          <w:szCs w:val="21"/>
        </w:rPr>
        <w:t>提出并归口。</w:t>
      </w:r>
    </w:p>
    <w:p w14:paraId="219BD86E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本标准起草单位：成都中医药大学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/>
          <w:color w:val="000000"/>
          <w:sz w:val="21"/>
          <w:szCs w:val="21"/>
          <w:highlight w:val="none"/>
        </w:rPr>
        <w:t>文山学院</w:t>
      </w:r>
      <w:r>
        <w:rPr>
          <w:rFonts w:hint="eastAsia" w:ascii="宋体" w:hAnsi="宋体"/>
          <w:color w:val="000000"/>
          <w:sz w:val="21"/>
          <w:szCs w:val="21"/>
          <w:highlight w:val="none"/>
          <w:lang w:val="en-US" w:eastAsia="zh-CN"/>
        </w:rPr>
        <w:t>、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中健安检测认证中心有限公司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。</w:t>
      </w:r>
    </w:p>
    <w:p w14:paraId="5A399106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本标准主要起草人：</w:t>
      </w:r>
      <w:r>
        <w:rPr>
          <w:rFonts w:hint="eastAsia" w:ascii="宋体" w:hAnsi="宋体" w:eastAsia="宋体"/>
          <w:color w:val="000000"/>
          <w:sz w:val="21"/>
          <w:szCs w:val="21"/>
          <w:highlight w:val="none"/>
        </w:rPr>
        <w:t>马云桐</w:t>
      </w:r>
      <w:r>
        <w:rPr>
          <w:rFonts w:hint="eastAsia" w:ascii="宋体" w:hAnsi="宋体"/>
          <w:color w:val="000000"/>
          <w:sz w:val="21"/>
          <w:szCs w:val="21"/>
          <w:highlight w:val="none"/>
          <w:lang w:val="en-US" w:eastAsia="zh-CN"/>
        </w:rPr>
        <w:t>、高继海、</w:t>
      </w:r>
      <w:r>
        <w:rPr>
          <w:rFonts w:hint="eastAsia" w:ascii="宋体" w:hAnsi="宋体" w:eastAsia="宋体"/>
          <w:color w:val="000000"/>
          <w:sz w:val="21"/>
          <w:szCs w:val="21"/>
          <w:highlight w:val="none"/>
        </w:rPr>
        <w:t>辛文锋</w:t>
      </w:r>
      <w:r>
        <w:rPr>
          <w:rFonts w:hint="eastAsia" w:ascii="宋体" w:hAnsi="宋体"/>
          <w:color w:val="000000"/>
          <w:sz w:val="21"/>
          <w:szCs w:val="21"/>
          <w:highlight w:val="none"/>
          <w:lang w:val="en-US" w:eastAsia="zh-CN"/>
        </w:rPr>
        <w:t>、王琦</w:t>
      </w:r>
      <w:r>
        <w:rPr>
          <w:rFonts w:hint="eastAsia" w:ascii="宋体" w:hAnsi="宋体"/>
          <w:color w:val="000000"/>
          <w:sz w:val="21"/>
          <w:szCs w:val="21"/>
          <w:highlight w:val="none"/>
          <w:lang w:eastAsia="zh-CN"/>
        </w:rPr>
        <w:t>。</w:t>
      </w:r>
    </w:p>
    <w:p w14:paraId="40A7D7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661C17D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p w14:paraId="0A7189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rPr>
          <w:rFonts w:hint="default" w:ascii="黑体" w:hAnsi="黑体" w:eastAsia="黑体"/>
          <w:bCs/>
          <w:color w:val="000000"/>
          <w:sz w:val="32"/>
          <w:szCs w:val="32"/>
          <w:highlight w:val="yellow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药材集采交易标准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 xml:space="preserve"> 川黄连</w:t>
      </w:r>
    </w:p>
    <w:p w14:paraId="5B1D309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1 范围</w:t>
      </w:r>
    </w:p>
    <w:p w14:paraId="5886A14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黄连集采的术语和定义、集采要求。</w:t>
      </w:r>
    </w:p>
    <w:p w14:paraId="13D8CA9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本标准适用于指导中华人民共和国境内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黄连的集采交易。</w:t>
      </w:r>
    </w:p>
    <w:p w14:paraId="37E7084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2 规范性引用文件</w:t>
      </w:r>
    </w:p>
    <w:p w14:paraId="5CA7BE2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36A33B4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T/ZGXCFZXH 0001.1-2024《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药材集采交易标准编制通则》</w:t>
      </w:r>
    </w:p>
    <w:p w14:paraId="6F1263B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T/CACM 1021.1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2016《中药材商品规格等级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编制通则》</w:t>
      </w:r>
    </w:p>
    <w:p w14:paraId="625145A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T/CACM 1021.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31-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201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8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黄连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》</w:t>
      </w:r>
    </w:p>
    <w:p w14:paraId="34CCF2B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T/CACAM 1020.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道地药材标准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川黄连》</w:t>
      </w:r>
    </w:p>
    <w:p w14:paraId="39FD4D6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3 术语和定义</w:t>
      </w:r>
    </w:p>
    <w:p w14:paraId="28A2F66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3.1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 </w:t>
      </w:r>
    </w:p>
    <w:p w14:paraId="53A57D6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川黄连</w:t>
      </w:r>
    </w:p>
    <w:p w14:paraId="47A84EB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default" w:ascii="宋体" w:hAnsi="宋体" w:cs="宋体"/>
          <w:bCs/>
          <w:color w:val="000000"/>
          <w:sz w:val="21"/>
          <w:szCs w:val="21"/>
          <w:highlight w:val="none"/>
          <w:shd w:val="clear" w:color="auto" w:fill="auto"/>
          <w:lang w:val="en-US" w:eastAsia="zh-CN"/>
        </w:rPr>
      </w:pP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shd w:val="clear" w:color="auto" w:fill="auto"/>
          <w:lang w:val="en-US" w:eastAsia="zh-CN"/>
        </w:rPr>
        <w:t>毛茛科植物黄连</w:t>
      </w:r>
      <w:r>
        <w:rPr>
          <w:rFonts w:hint="default" w:ascii="宋体" w:hAnsi="宋体" w:cs="宋体"/>
          <w:bCs/>
          <w:i/>
          <w:iCs/>
          <w:color w:val="000000"/>
          <w:sz w:val="21"/>
          <w:szCs w:val="21"/>
          <w:highlight w:val="none"/>
          <w:shd w:val="clear" w:color="auto" w:fill="auto"/>
          <w:lang w:val="en-US" w:eastAsia="zh-CN"/>
        </w:rPr>
        <w:t>Coptis chinensis</w:t>
      </w: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shd w:val="clear" w:color="auto" w:fill="auto"/>
          <w:lang w:val="en-US" w:eastAsia="zh-CN"/>
        </w:rPr>
        <w:t xml:space="preserve"> Franch.、三角叶黄连</w:t>
      </w:r>
      <w:r>
        <w:rPr>
          <w:rFonts w:hint="default" w:ascii="宋体" w:hAnsi="宋体" w:cs="宋体"/>
          <w:bCs/>
          <w:i/>
          <w:iCs/>
          <w:color w:val="000000"/>
          <w:sz w:val="21"/>
          <w:szCs w:val="21"/>
          <w:highlight w:val="none"/>
          <w:shd w:val="clear" w:color="auto" w:fill="auto"/>
          <w:lang w:val="en-US" w:eastAsia="zh-CN"/>
        </w:rPr>
        <w:t>Coptis deltoidea</w:t>
      </w: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shd w:val="clear" w:color="auto" w:fill="auto"/>
          <w:lang w:val="en-US" w:eastAsia="zh-CN"/>
        </w:rPr>
        <w:t xml:space="preserve"> C.Y.Cheng et Hsiao的干燥根茎。秋季采挖，除去须根和泥沙，干燥，撞去残留须根。</w:t>
      </w:r>
    </w:p>
    <w:p w14:paraId="5E1F15F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3.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2 </w:t>
      </w:r>
    </w:p>
    <w:p w14:paraId="7AAADDE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味连</w:t>
      </w:r>
    </w:p>
    <w:p w14:paraId="40291AE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毛茛科植物黄连</w:t>
      </w:r>
      <w:r>
        <w:rPr>
          <w:rFonts w:hint="default" w:ascii="宋体" w:hAnsi="宋体" w:cs="宋体"/>
          <w:bCs/>
          <w:i/>
          <w:iCs/>
          <w:color w:val="000000"/>
          <w:sz w:val="21"/>
          <w:szCs w:val="21"/>
          <w:highlight w:val="none"/>
          <w:lang w:val="en-US" w:eastAsia="zh-CN"/>
        </w:rPr>
        <w:t>Coptis chinensis</w:t>
      </w: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Franch.的干燥根茎，按来源，习称“味连”。</w:t>
      </w:r>
    </w:p>
    <w:p w14:paraId="70736D6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3.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3 </w:t>
      </w:r>
    </w:p>
    <w:p w14:paraId="11E3066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雅连</w:t>
      </w:r>
    </w:p>
    <w:p w14:paraId="61E23D5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>毛茛科植物三角叶黄连</w:t>
      </w:r>
      <w:r>
        <w:rPr>
          <w:rFonts w:hint="eastAsia" w:ascii="宋体" w:hAnsi="宋体" w:eastAsia="宋体" w:cs="宋体"/>
          <w:bCs/>
          <w:i/>
          <w:iCs/>
          <w:color w:val="000000"/>
          <w:sz w:val="21"/>
          <w:szCs w:val="21"/>
          <w:highlight w:val="none"/>
          <w:lang w:val="en-US" w:eastAsia="zh-CN"/>
        </w:rPr>
        <w:t>Coptis deLtoidea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C.Y.Cheng et Hsiao的干燥根茎，按来源，习称“雅连”。</w:t>
      </w:r>
    </w:p>
    <w:p w14:paraId="6B8C4ECC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3.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 </w:t>
      </w:r>
    </w:p>
    <w:p w14:paraId="14EE2EC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鸡爪连</w:t>
      </w:r>
    </w:p>
    <w:p w14:paraId="0C64965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毛茛科植物黄连 </w:t>
      </w:r>
      <w:r>
        <w:rPr>
          <w:rFonts w:hint="default" w:ascii="宋体" w:hAnsi="宋体" w:cs="宋体"/>
          <w:bCs/>
          <w:i/>
          <w:iCs/>
          <w:color w:val="000000"/>
          <w:sz w:val="21"/>
          <w:szCs w:val="21"/>
          <w:highlight w:val="none"/>
          <w:lang w:val="en-US" w:eastAsia="zh-CN"/>
        </w:rPr>
        <w:t>Coptis chinensis</w:t>
      </w: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Franch.的干燥根茎，整体呈鸡爪状，习称“鸡爪连”。</w:t>
      </w:r>
    </w:p>
    <w:p w14:paraId="1972E89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3.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5 </w:t>
      </w:r>
    </w:p>
    <w:p w14:paraId="5148697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8"/>
          <w:szCs w:val="28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单枝连</w:t>
      </w:r>
    </w:p>
    <w:p w14:paraId="64CB375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毛茛科植物黄连 </w:t>
      </w:r>
      <w:r>
        <w:rPr>
          <w:rFonts w:hint="default" w:ascii="宋体" w:hAnsi="宋体" w:cs="宋体"/>
          <w:bCs/>
          <w:i/>
          <w:iCs/>
          <w:color w:val="000000"/>
          <w:sz w:val="21"/>
          <w:szCs w:val="21"/>
          <w:highlight w:val="none"/>
          <w:lang w:val="en-US" w:eastAsia="zh-CN"/>
        </w:rPr>
        <w:t>Coptis chinensis</w:t>
      </w: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 xml:space="preserve"> Franch.的干燥根茎，加工时将成束的根茎拆分成单枝，习称“单枝连”。</w:t>
      </w:r>
    </w:p>
    <w:p w14:paraId="024F7A6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3.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6 </w:t>
      </w:r>
    </w:p>
    <w:p w14:paraId="185D6D0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8"/>
          <w:szCs w:val="28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焦糊</w:t>
      </w:r>
    </w:p>
    <w:p w14:paraId="1E3912C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黄连药材因加工不当而变黑变焦。</w:t>
      </w:r>
    </w:p>
    <w:p w14:paraId="1CCC697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3.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7 </w:t>
      </w:r>
    </w:p>
    <w:p w14:paraId="6E6B98D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过桥</w:t>
      </w:r>
    </w:p>
    <w:p w14:paraId="3E53276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指黄连根茎光滑如茎秆的节间。</w:t>
      </w:r>
    </w:p>
    <w:p w14:paraId="462E0E9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3.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8 </w:t>
      </w:r>
    </w:p>
    <w:p w14:paraId="3F30FAF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焦枯</w:t>
      </w:r>
    </w:p>
    <w:p w14:paraId="0FE85E3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指黄连药材在加工干燥过程中，因火力过大或操作不当，引起药材灼伤变黑枯的现象。</w:t>
      </w:r>
    </w:p>
    <w:p w14:paraId="121CAD1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3.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9 </w:t>
      </w:r>
    </w:p>
    <w:p w14:paraId="338C020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  <w:t>骠质</w:t>
      </w:r>
    </w:p>
    <w:p w14:paraId="49F4B1E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指黄连根茎表面疏松的浮皮。</w:t>
      </w:r>
    </w:p>
    <w:p w14:paraId="6D74465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 集采要求</w:t>
      </w:r>
    </w:p>
    <w:p w14:paraId="6AF53E4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4.1来源</w:t>
      </w:r>
    </w:p>
    <w:p w14:paraId="4555609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4.1.1 基原</w:t>
      </w:r>
    </w:p>
    <w:p w14:paraId="3FF8EDC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毛茛科植物黄连</w:t>
      </w:r>
      <w:r>
        <w:rPr>
          <w:rFonts w:hint="eastAsia" w:ascii="宋体" w:hAnsi="宋体" w:eastAsia="宋体" w:cs="宋体"/>
          <w:bCs/>
          <w:i/>
          <w:iCs/>
          <w:color w:val="000000"/>
          <w:sz w:val="21"/>
          <w:szCs w:val="21"/>
          <w:lang w:val="en-US" w:eastAsia="zh-CN"/>
        </w:rPr>
        <w:t>Coptis chinensis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Franch.或三角叶黄连</w:t>
      </w:r>
      <w:r>
        <w:rPr>
          <w:rFonts w:hint="eastAsia" w:ascii="宋体" w:hAnsi="宋体" w:eastAsia="宋体" w:cs="宋体"/>
          <w:bCs/>
          <w:i/>
          <w:iCs/>
          <w:color w:val="000000"/>
          <w:sz w:val="21"/>
          <w:szCs w:val="21"/>
          <w:lang w:val="en-US" w:eastAsia="zh-CN"/>
        </w:rPr>
        <w:t>Coptis deltoidea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C.Y.Cheng et Hsiao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7950F76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4.1.2 药用部位</w:t>
      </w:r>
    </w:p>
    <w:p w14:paraId="354B160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黄连的药用部位为干燥根茎。</w:t>
      </w:r>
    </w:p>
    <w:p w14:paraId="05BD07B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4.1.3 产地</w:t>
      </w:r>
    </w:p>
    <w:p w14:paraId="72D2EC4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主产于重庆石柱、巫溪、城口、开州;四川峨嵋、洪雅、乐山、彭州、雅安;湖北利川、恩施、建始。</w:t>
      </w:r>
    </w:p>
    <w:p w14:paraId="444F2C9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4.1.4 采收期</w:t>
      </w:r>
    </w:p>
    <w:p w14:paraId="0C6ABFC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在秋季采挖。</w:t>
      </w:r>
    </w:p>
    <w:p w14:paraId="7F05C61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4.1.5 产地加工</w:t>
      </w:r>
    </w:p>
    <w:p w14:paraId="77140B9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trike w:val="0"/>
          <w:dstrike w:val="0"/>
          <w:color w:val="000000"/>
          <w:sz w:val="21"/>
          <w:szCs w:val="21"/>
          <w:highlight w:val="none"/>
          <w:lang w:val="en-US" w:eastAsia="zh-CN"/>
        </w:rPr>
        <w:t>黄连采收后</w:t>
      </w:r>
      <w:r>
        <w:rPr>
          <w:rFonts w:hint="default" w:ascii="宋体" w:hAnsi="宋体" w:cs="宋体"/>
          <w:bCs/>
          <w:color w:val="000000"/>
          <w:sz w:val="21"/>
          <w:szCs w:val="21"/>
          <w:highlight w:val="none"/>
          <w:shd w:val="clear" w:color="auto" w:fill="auto"/>
          <w:lang w:val="en-US" w:eastAsia="zh-CN"/>
        </w:rPr>
        <w:t>除去须根和泥沙，干燥，撞去残留须根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569BD5D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 性状</w:t>
      </w:r>
    </w:p>
    <w:p w14:paraId="011CEEE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4.2.1 形状</w:t>
      </w:r>
    </w:p>
    <w:p w14:paraId="2DC752A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default" w:ascii="宋体" w:hAnsi="宋体" w:cs="宋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味连多集聚成簇，常弯曲，形如鸡爪。雅连多为单枝，略呈圆柱形，微弯曲。</w:t>
      </w:r>
    </w:p>
    <w:p w14:paraId="6B29774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4.2.2 表面</w:t>
      </w:r>
    </w:p>
    <w:p w14:paraId="16F9FC9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味连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表面灰黄色或黄褐色，粗糙，有不规则结节状隆起、须根及须根残基，有的节间表面平滑如茎秆，习称“过桥”。上部多残留褐色鳞叶，顶端常留有残余的茎或叶柄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雅连顶端有少许残茎。</w:t>
      </w:r>
    </w:p>
    <w:p w14:paraId="2B79B67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4.2.3 断面</w:t>
      </w:r>
    </w:p>
    <w:p w14:paraId="3B56737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黄连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断面不整齐，皮部橙红色或暗棕色，木部鲜黄色或橙黄色，呈放射状排列，髓部有的中空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。</w:t>
      </w:r>
    </w:p>
    <w:p w14:paraId="7777032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4.2.4 质地</w:t>
      </w:r>
    </w:p>
    <w:p w14:paraId="36CC05D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黄连质硬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0DA3558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4.2.5 气味</w:t>
      </w:r>
    </w:p>
    <w:p w14:paraId="5AFF7A4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黄连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气微，味极苦。</w:t>
      </w:r>
    </w:p>
    <w:p w14:paraId="79E4E150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 鉴别</w:t>
      </w:r>
    </w:p>
    <w:p w14:paraId="23D3BF12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left="0" w:right="0" w:firstLine="0"/>
        <w:jc w:val="left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4.3.1 显微鉴别</w:t>
      </w:r>
    </w:p>
    <w:p w14:paraId="0F38280F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本品横切面：味连木栓层为数列细胞，其外有表皮，常脱落。皮层较宽，石细胞单个或成群散在。中柱鞘纤维成束或伴有少数石细胞，均显黄色。维管束外韧型，环列。木质部黄色，均木化，木纤维较发达。髓部均为薄壁细胞，无石细胞。雅连髓部有石细胞。</w:t>
      </w:r>
    </w:p>
    <w:p w14:paraId="6447ECB4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ind w:left="0" w:right="0" w:firstLine="0"/>
        <w:jc w:val="left"/>
        <w:textAlignment w:val="auto"/>
        <w:rPr>
          <w:rFonts w:hint="default" w:ascii="黑体" w:hAnsi="黑体" w:eastAsia="黑体"/>
          <w:bCs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4.3.2薄层鉴别</w:t>
      </w:r>
    </w:p>
    <w:p w14:paraId="63CF227F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取本品粉末0.25g，加甲醇25ml，超声处理30分钟，滤过，取滤液作为供试品溶液。另取黄连对照药材0.25g，同法制成对照药材溶液。再取盐酸小檗碱对照品，加甲醇制成每1ml含0.5mg的溶液，作为对照品溶液。照薄层色谱法（通则0502）试验，吸取上述三种溶液各1μl，分别点于同一高效硅胶G薄层板上，以环己烷-乙酸乙酯-异丙醇-甲醇-水-三乙胺（3︰3.5︰1︰1.5︰0.5︰1）为展开剂，置用浓氨试液预饱和20分钟的展开缸内，展开，取出，晾干，置紫外光灯（365nm）下检视。供试品色谱中，在与对照药材色谱相应的位置上，显4个以上相同颜色的荧光斑点；对照品色谱相应的位置上，显相同颜色的荧光斑点。</w:t>
      </w:r>
    </w:p>
    <w:p w14:paraId="2FD4297C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pacing w:before="157" w:beforeLines="50" w:beforeAutospacing="0" w:after="157" w:afterLines="50" w:afterAutospacing="0" w:line="240" w:lineRule="auto"/>
        <w:ind w:left="0" w:right="0" w:firstLine="0"/>
        <w:jc w:val="left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 检查</w:t>
      </w:r>
    </w:p>
    <w:p w14:paraId="67BEBF9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strike w:val="0"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4.4.1 水分</w:t>
      </w:r>
    </w:p>
    <w:p w14:paraId="2A02ED6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通则0832第二法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，</w:t>
      </w:r>
      <w:r>
        <w:rPr>
          <w:rFonts w:hint="eastAsia" w:ascii="宋体" w:hAnsi="宋体" w:cs="宋体"/>
          <w:bCs/>
          <w:color w:val="auto"/>
          <w:sz w:val="21"/>
          <w:szCs w:val="21"/>
        </w:rPr>
        <w:t>不得过1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bCs/>
          <w:color w:val="auto"/>
          <w:sz w:val="21"/>
          <w:szCs w:val="21"/>
        </w:rPr>
        <w:t>.0%</w:t>
      </w:r>
      <w:r>
        <w:rPr>
          <w:rFonts w:hint="eastAsia" w:ascii="宋体" w:hAnsi="宋体" w:cs="宋体"/>
          <w:bCs/>
          <w:color w:val="auto"/>
          <w:sz w:val="21"/>
          <w:szCs w:val="21"/>
          <w:lang w:eastAsia="zh-CN"/>
        </w:rPr>
        <w:t>。</w:t>
      </w:r>
    </w:p>
    <w:p w14:paraId="2B79B7E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4.4.2 总灰分</w:t>
      </w:r>
    </w:p>
    <w:p w14:paraId="14F81EC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ascii="宋体" w:hAnsi="宋体" w:cs="宋体"/>
          <w:bCs/>
          <w:color w:val="auto"/>
          <w:sz w:val="21"/>
          <w:szCs w:val="21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通则2302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法测定，</w:t>
      </w:r>
      <w:r>
        <w:rPr>
          <w:rFonts w:hint="eastAsia" w:ascii="宋体" w:hAnsi="宋体" w:cs="宋体"/>
          <w:bCs/>
          <w:color w:val="auto"/>
          <w:sz w:val="21"/>
          <w:szCs w:val="21"/>
        </w:rPr>
        <w:t>不得过</w:t>
      </w:r>
      <w:r>
        <w:rPr>
          <w:rFonts w:hint="eastAsia" w:ascii="宋体" w:hAnsi="宋体" w:cs="宋体"/>
          <w:bCs/>
          <w:color w:val="auto"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bCs/>
          <w:color w:val="auto"/>
          <w:sz w:val="21"/>
          <w:szCs w:val="21"/>
        </w:rPr>
        <w:t>.0%。</w:t>
      </w:r>
    </w:p>
    <w:p w14:paraId="53DAE16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strike/>
          <w:d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strike w:val="0"/>
          <w:dstrike w:val="0"/>
          <w:color w:val="000000"/>
          <w:sz w:val="21"/>
          <w:szCs w:val="21"/>
          <w:highlight w:val="none"/>
          <w:lang w:val="en-US" w:eastAsia="zh-CN"/>
        </w:rPr>
        <w:t>4.4.3 浸出物</w:t>
      </w:r>
    </w:p>
    <w:p w14:paraId="4590427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trike w:val="0"/>
          <w:dstrike w:val="0"/>
          <w:color w:val="000000"/>
          <w:sz w:val="21"/>
          <w:szCs w:val="21"/>
          <w:highlight w:val="none"/>
          <w:lang w:val="en-US" w:eastAsia="zh-CN"/>
        </w:rPr>
        <w:t>照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通则2201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法测定，</w:t>
      </w:r>
      <w:r>
        <w:rPr>
          <w:rFonts w:hint="eastAsia" w:ascii="宋体" w:hAnsi="宋体" w:eastAsia="宋体" w:cs="宋体"/>
          <w:bCs/>
          <w:strike w:val="0"/>
          <w:dstrike w:val="0"/>
          <w:color w:val="000000"/>
          <w:sz w:val="21"/>
          <w:szCs w:val="21"/>
          <w:highlight w:val="none"/>
          <w:lang w:val="en-US" w:eastAsia="zh-CN"/>
        </w:rPr>
        <w:t>不得少于15.0%。</w:t>
      </w:r>
    </w:p>
    <w:p w14:paraId="49BD7E9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4.4.4 二氧化硫残留</w:t>
      </w:r>
    </w:p>
    <w:p w14:paraId="11870BC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照二氧化硫残留量测定法（《中华人民共和国药典》2020年版通则2331）测定，不得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过150mg/kg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B75031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4.4.5重金属残留</w:t>
      </w:r>
    </w:p>
    <w:p w14:paraId="03638DE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照《中华人民共和国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药典》2020版通则2321原子吸收分光光度法或电感耦合等离子体质谱法测定，铅不得过10mg/kg；镉不得过1mg/kg；砷不得过5mg/kg；汞不得过1mg/kg；铜不得过20mg/kg。</w:t>
      </w:r>
    </w:p>
    <w:p w14:paraId="42D8606C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default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highlight w:val="none"/>
          <w:lang w:val="en-US" w:eastAsia="zh-CN"/>
        </w:rPr>
        <w:t>4.4.6农药残留</w:t>
      </w:r>
    </w:p>
    <w:p w14:paraId="5353E82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</w:rPr>
        <w:t>《中华人民共和国药典》2020版通则项下的农药残留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不得检出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eastAsia="zh-CN"/>
        </w:rPr>
        <w:t>。</w:t>
      </w:r>
    </w:p>
    <w:p w14:paraId="468B3E2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4.5 含量</w:t>
      </w:r>
    </w:p>
    <w:p w14:paraId="4E1B0D98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0" w:right="0"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  <w:highlight w:val="yellow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黄连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干燥品计算，以盐酸小檗碱（C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l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）计，含小檗碱（C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）不得少于5.5%，表小檗碱（C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）不得少于0.80%，黄连碱（C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）不得少于1.6%，巴马汀（C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）不得少于1.5%。（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通则0512）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雅连按干燥品计算，以盐酸小檗碱（C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l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）计，含小檗碱（C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）不得少于4.5%。（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通则0512）</w:t>
      </w:r>
      <w:r>
        <w:rPr>
          <w:rFonts w:hint="eastAsia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云连按干燥品计算，以盐酸小檗碱（C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18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l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）计，含小檗碱（C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20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）不得少于7.0%。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（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通则0512）</w:t>
      </w:r>
      <w:r>
        <w:rPr>
          <w:rFonts w:hint="eastAsia" w:cs="宋体"/>
          <w:bCs/>
          <w:color w:val="000000"/>
          <w:sz w:val="21"/>
          <w:szCs w:val="21"/>
          <w:lang w:val="en-US" w:eastAsia="zh-CN"/>
        </w:rPr>
        <w:t>。</w:t>
      </w:r>
    </w:p>
    <w:p w14:paraId="3B4262F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 质量控制</w:t>
      </w:r>
    </w:p>
    <w:p w14:paraId="69E9121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4.6.1 可追溯</w:t>
      </w:r>
    </w:p>
    <w:p w14:paraId="6214938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黄连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应实现中药材生产全过程可追溯，并通过第三方溯源评价。</w:t>
      </w:r>
    </w:p>
    <w:p w14:paraId="6CA927D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4.6.2 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药材生产管理规范</w:t>
      </w:r>
    </w:p>
    <w:p w14:paraId="0823803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黄连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应符合中药材GAP管理要求，并通过GAP备案或延伸检查。</w:t>
      </w:r>
    </w:p>
    <w:p w14:paraId="12B6FC3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4.6.3 道地药材</w:t>
      </w:r>
    </w:p>
    <w:p w14:paraId="2BF9BB9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黄连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应符合道地药材要求，并通过第三方道地药材认证。</w:t>
      </w:r>
    </w:p>
    <w:p w14:paraId="7C46605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4.7 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>等级及集采要求</w:t>
      </w:r>
    </w:p>
    <w:p w14:paraId="303E534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</w:t>
      </w:r>
      <w:r>
        <w:rPr>
          <w:rFonts w:hint="eastAsia" w:ascii="宋体" w:hAnsi="宋体" w:cs="宋体"/>
          <w:bCs/>
          <w:color w:val="000000"/>
          <w:sz w:val="21"/>
          <w:szCs w:val="21"/>
          <w:highlight w:val="none"/>
          <w:lang w:val="en-US" w:eastAsia="zh-CN"/>
        </w:rPr>
        <w:t>黄连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统货、选货、精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药材具体要求见表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1。</w:t>
      </w:r>
    </w:p>
    <w:tbl>
      <w:tblPr>
        <w:tblStyle w:val="11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2107"/>
        <w:gridCol w:w="1892"/>
        <w:gridCol w:w="1610"/>
        <w:gridCol w:w="2151"/>
      </w:tblGrid>
      <w:tr w14:paraId="12D855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62A7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157" w:beforeLines="50" w:after="157" w:afterLines="50" w:line="24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表1 道地药材集采交易标准 川</w:t>
            </w: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黄连</w:t>
            </w:r>
          </w:p>
        </w:tc>
      </w:tr>
      <w:tr w14:paraId="0F70B7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404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38390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15BF61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0D0DD6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ABAE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69F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B97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/>
                <w:sz w:val="18"/>
                <w:szCs w:val="18"/>
                <w:highlight w:val="none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</w:t>
            </w:r>
          </w:p>
        </w:tc>
      </w:tr>
      <w:tr w14:paraId="1909AD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18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来源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7AB6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种源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CA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味连：毛茛科植物黄连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u w:val="none"/>
                <w:lang w:val="en-US" w:eastAsia="zh-CN"/>
              </w:rPr>
              <w:t>Coptis chinensis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Franch.</w:t>
            </w:r>
          </w:p>
          <w:p w14:paraId="4424E1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雅连：毛茛科植物三角叶黄连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  <w:u w:val="none"/>
                <w:lang w:val="en-US" w:eastAsia="zh-CN"/>
              </w:rPr>
              <w:t>Coptis deltoidea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 xml:space="preserve"> C.Y.Cheng et Hsiao</w:t>
            </w:r>
          </w:p>
        </w:tc>
      </w:tr>
      <w:tr w14:paraId="55AD7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0D65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F8D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F224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干燥根茎</w:t>
            </w:r>
          </w:p>
        </w:tc>
      </w:tr>
      <w:tr w14:paraId="1F6A7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C82E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37B5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1432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秋季采挖</w:t>
            </w:r>
          </w:p>
        </w:tc>
      </w:tr>
      <w:tr w14:paraId="6CF52A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3EC4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297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5780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黄连采收后除去须根和泥沙，干燥，撞去残留须根</w:t>
            </w:r>
          </w:p>
        </w:tc>
      </w:tr>
      <w:tr w14:paraId="63BC27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2D6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869B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产地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E1E4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主产于重庆石柱、巫溪、城口、开州;四川峨嵋、洪雅、乐山、彭州、雅安;湖北利川、恩施、建始</w:t>
            </w:r>
          </w:p>
        </w:tc>
      </w:tr>
      <w:tr w14:paraId="544D27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D184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性状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623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形状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21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味连多集聚成簇，常弯曲，形如鸡爪</w:t>
            </w:r>
          </w:p>
          <w:p w14:paraId="4F9452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雅连多为单枝，略呈圆柱形，微弯曲</w:t>
            </w:r>
          </w:p>
        </w:tc>
      </w:tr>
      <w:tr w14:paraId="5FFD6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CF62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D62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气味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929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气微，味极苦</w:t>
            </w:r>
          </w:p>
        </w:tc>
      </w:tr>
      <w:tr w14:paraId="62F75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2ED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9E2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断面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6557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不整齐，皮部橙红色或暗棕色，木部鲜黄色或橙黄色，呈放射状排列，髓部有的中空</w:t>
            </w:r>
          </w:p>
        </w:tc>
      </w:tr>
      <w:tr w14:paraId="64A26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B29C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C91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质地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5D0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质硬</w:t>
            </w:r>
          </w:p>
        </w:tc>
      </w:tr>
      <w:tr w14:paraId="66CE51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4A7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6D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过桥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94D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1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F0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6C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单枝连不得过1.6cm</w:t>
            </w:r>
          </w:p>
          <w:p w14:paraId="3BB505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鸡爪连不得过2.0cm</w:t>
            </w:r>
          </w:p>
        </w:tc>
      </w:tr>
      <w:tr w14:paraId="1F2FE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667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9B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表面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B78B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味连表面灰黄色或黄褐色，粗糙，有不规则结节状隆起、须根及须根残基，有的节间表面平滑如茎秆，习称“过桥”。上部多残留褐色鳞叶，顶端常留有残余的茎或叶柄</w:t>
            </w:r>
          </w:p>
          <w:p w14:paraId="407E2F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顶端有少许残茎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。</w:t>
            </w:r>
          </w:p>
        </w:tc>
      </w:tr>
      <w:tr w14:paraId="13335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7C61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鉴别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68F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鉴别（1）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307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本品横切面：味连 木栓层为数列细胞，其外有表皮，常脱落。皮层较宽，石细胞单个或成群散在。中柱鞘纤维成束或伴有少数石细胞，均显黄色。维管束外韧型，环列。木质部黄色，均木化，木纤维较发达。髓部均为薄壁细胞，无石细胞。雅连髓部有石细胞。</w:t>
            </w:r>
          </w:p>
        </w:tc>
      </w:tr>
      <w:tr w14:paraId="35C08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406D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yellow"/>
                <w:u w:val="none"/>
                <w:lang w:val="en-US" w:eastAsia="zh-CN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2762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鉴别（2）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7CC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取本品粉末0.25g，加甲醇25ml，超声处理30分钟，滤过，取滤液作为供试品溶液。另取黄连对照药材0.25g，同法制成对照药材溶液。再取盐酸小檗碱对照品，加甲醇制成每1ml含0.5mg的溶液，作为对照品溶液。照薄层色谱法（通则0502）试验，吸取上述三种溶液各1μl，分别点于同一高效硅胶G薄层板上，以环己烷-乙酸乙酯-异丙醇-甲醇-水-三乙胺（3︰3.5︰1︰1.5︰0.5︰1）为展开剂，置用浓氨试液预饱和20分钟的展开缸内，展开，取出，晾干，置紫外光灯（365nm）下检视。供试品色谱中，在与对照药材色谱相应的位置上，显4个以上相同颜色的荧光斑点；对照品色谱相应的位置上，显相同颜色的荧光斑点。</w:t>
            </w:r>
          </w:p>
        </w:tc>
      </w:tr>
      <w:tr w14:paraId="029B9C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C6F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检查</w:t>
            </w: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89E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55BC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不得过1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.0%</w:t>
            </w:r>
          </w:p>
        </w:tc>
      </w:tr>
      <w:tr w14:paraId="3EA05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471E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7CA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灰分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1823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不得过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.0%</w:t>
            </w:r>
          </w:p>
        </w:tc>
      </w:tr>
      <w:tr w14:paraId="01ABC5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0AC1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DE67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*农药残留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B2F0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《中华人民共和国药典》2020年版规定的农残不得检出</w:t>
            </w:r>
          </w:p>
        </w:tc>
      </w:tr>
      <w:tr w14:paraId="7AEBD0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901C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95A6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*二氧化硫残留物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7DD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不得过150mg/kg</w:t>
            </w:r>
          </w:p>
        </w:tc>
      </w:tr>
      <w:tr w14:paraId="28DCE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E6319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5F77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*重金属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残留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0AE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铅不得过10mg/kg；镉不得过1mg/kg；砷不得过5mg/kg；汞不得过1mg/kg；铜不得过20mg/kg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7D394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FF1A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浸出物</w:t>
            </w: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B2B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</w:t>
            </w:r>
          </w:p>
        </w:tc>
        <w:tc>
          <w:tcPr>
            <w:tcW w:w="5653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CB1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不得少于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.0%</w:t>
            </w:r>
          </w:p>
        </w:tc>
      </w:tr>
      <w:tr w14:paraId="38713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683FE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含量</w:t>
            </w:r>
          </w:p>
        </w:tc>
        <w:tc>
          <w:tcPr>
            <w:tcW w:w="21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6D91B30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檗碱（C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</w:rPr>
              <w:t>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NO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  <w:t>）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9EC629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  <w:t>味连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不得少于5.5%</w:t>
            </w:r>
          </w:p>
          <w:p w14:paraId="5F4D450D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雅连不得少于4.5%</w:t>
            </w:r>
          </w:p>
        </w:tc>
      </w:tr>
      <w:tr w14:paraId="19064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89740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EF1DE1E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表小檗碱（C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  <w:lang w:val="en-US" w:eastAsia="zh-CN"/>
              </w:rPr>
              <w:t>17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NO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）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E150B1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不得少于0.80%</w:t>
            </w:r>
          </w:p>
        </w:tc>
      </w:tr>
      <w:tr w14:paraId="1662C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1924C9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66E3544D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黄连碱（C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  <w:lang w:val="en-US" w:eastAsia="zh-CN"/>
              </w:rPr>
              <w:t>19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NO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）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965F5D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不得少于1.6%</w:t>
            </w:r>
          </w:p>
        </w:tc>
      </w:tr>
      <w:tr w14:paraId="27484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FC879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210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 w14:paraId="5B91EEF2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巴马汀（C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NO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vertAlign w:val="subscript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）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8A1002">
            <w:pPr>
              <w:pStyle w:val="9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不得少于1.5%</w:t>
            </w:r>
          </w:p>
        </w:tc>
      </w:tr>
      <w:tr w14:paraId="4D89E9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9692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AF50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可追溯*</w:t>
            </w:r>
          </w:p>
        </w:tc>
        <w:tc>
          <w:tcPr>
            <w:tcW w:w="5653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95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通过第三方溯源评价</w:t>
            </w:r>
          </w:p>
        </w:tc>
      </w:tr>
      <w:tr w14:paraId="4C64B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0D920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CD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GAP*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B3FF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8DAF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25C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GAP备案或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highlight w:val="none"/>
                <w:lang w:val="en-US" w:eastAsia="zh-CN"/>
              </w:rPr>
              <w:t>延伸审查通过</w:t>
            </w:r>
          </w:p>
        </w:tc>
      </w:tr>
      <w:tr w14:paraId="02128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4923A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1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18F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道地药材*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E2C5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23E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CFEA3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道地药材认证</w:t>
            </w:r>
          </w:p>
        </w:tc>
      </w:tr>
    </w:tbl>
    <w:p w14:paraId="6EFCC01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  <w:br w:type="page"/>
      </w:r>
    </w:p>
    <w:p w14:paraId="2271E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outlineLvl w:val="0"/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 w14:paraId="647E77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outlineLvl w:val="0"/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（规范性附录）</w:t>
      </w:r>
    </w:p>
    <w:p w14:paraId="7CD5F1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outlineLvl w:val="0"/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川黄连集采交易</w:t>
      </w:r>
      <w:r>
        <w:rPr>
          <w:rFonts w:hint="eastAsia" w:ascii="黑体" w:hAnsi="黑体" w:eastAsia="黑体" w:cs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规格等级性状图</w:t>
      </w:r>
    </w:p>
    <w:p w14:paraId="2322B28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098925" cy="2989580"/>
            <wp:effectExtent l="0" t="0" r="0" b="0"/>
            <wp:docPr id="9" name="图片 9" descr="味连-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味连-统货"/>
                    <pic:cNvPicPr>
                      <a:picLocks noChangeAspect="1"/>
                    </pic:cNvPicPr>
                  </pic:nvPicPr>
                  <pic:blipFill>
                    <a:blip r:embed="rId13"/>
                    <a:srcRect t="17718" r="33302"/>
                    <a:stretch>
                      <a:fillRect/>
                    </a:stretch>
                  </pic:blipFill>
                  <pic:spPr>
                    <a:xfrm>
                      <a:off x="0" y="0"/>
                      <a:ext cx="4098925" cy="298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4438A">
      <w:pPr>
        <w:pStyle w:val="2"/>
        <w:bidi w:val="0"/>
        <w:jc w:val="center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图A1味连（统货）规格等级性状图</w:t>
      </w:r>
    </w:p>
    <w:p w14:paraId="0C31B86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  <w:drawing>
          <wp:inline distT="0" distB="0" distL="114300" distR="114300">
            <wp:extent cx="4100195" cy="2477135"/>
            <wp:effectExtent l="0" t="0" r="14605" b="6985"/>
            <wp:docPr id="16" name="图片 16" descr="味连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味连-选货"/>
                    <pic:cNvPicPr>
                      <a:picLocks noChangeAspect="1"/>
                    </pic:cNvPicPr>
                  </pic:nvPicPr>
                  <pic:blipFill>
                    <a:blip r:embed="rId14"/>
                    <a:srcRect l="5701" t="28536" r="26627" b="3384"/>
                    <a:stretch>
                      <a:fillRect/>
                    </a:stretch>
                  </pic:blipFill>
                  <pic:spPr>
                    <a:xfrm>
                      <a:off x="0" y="0"/>
                      <a:ext cx="4100195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743A7">
      <w:pPr>
        <w:pStyle w:val="2"/>
        <w:bidi w:val="0"/>
        <w:jc w:val="center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图A2味连（选货）规格等级性状图</w:t>
      </w:r>
    </w:p>
    <w:p w14:paraId="68F6954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</w:p>
    <w:p w14:paraId="0D153645">
      <w:pPr>
        <w:pStyle w:val="2"/>
        <w:bidi w:val="0"/>
        <w:jc w:val="both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</w:p>
    <w:p w14:paraId="7726FEFA">
      <w:pPr>
        <w:pStyle w:val="2"/>
        <w:bidi w:val="0"/>
        <w:jc w:val="center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drawing>
          <wp:inline distT="0" distB="0" distL="114300" distR="114300">
            <wp:extent cx="4100195" cy="2870200"/>
            <wp:effectExtent l="0" t="0" r="14605" b="10160"/>
            <wp:docPr id="17" name="图片 17" descr="雅连-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雅连-统货"/>
                    <pic:cNvPicPr>
                      <a:picLocks noChangeAspect="1"/>
                    </pic:cNvPicPr>
                  </pic:nvPicPr>
                  <pic:blipFill>
                    <a:blip r:embed="rId15"/>
                    <a:srcRect l="5077" t="5963" r="21590"/>
                    <a:stretch>
                      <a:fillRect/>
                    </a:stretch>
                  </pic:blipFill>
                  <pic:spPr>
                    <a:xfrm>
                      <a:off x="0" y="0"/>
                      <a:ext cx="4100195" cy="287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B90D6">
      <w:pPr>
        <w:pStyle w:val="2"/>
        <w:bidi w:val="0"/>
        <w:jc w:val="center"/>
        <w:rPr>
          <w:rFonts w:hint="eastAsia" w:ascii="黑体" w:hAnsi="黑体" w:eastAsia="黑体" w:cs="黑体"/>
          <w:bCs/>
          <w:color w:val="00000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图A3雅连（统货）规格等级性状图</w:t>
      </w:r>
    </w:p>
    <w:p w14:paraId="70CDAB9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eastAsia="zh-CN"/>
        </w:rPr>
        <w:drawing>
          <wp:inline distT="0" distB="0" distL="114300" distR="114300">
            <wp:extent cx="4100195" cy="3477260"/>
            <wp:effectExtent l="0" t="0" r="14605" b="12700"/>
            <wp:docPr id="18" name="图片 18" descr="雅连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雅连-选货"/>
                    <pic:cNvPicPr>
                      <a:picLocks noChangeAspect="1"/>
                    </pic:cNvPicPr>
                  </pic:nvPicPr>
                  <pic:blipFill>
                    <a:blip r:embed="rId16"/>
                    <a:srcRect l="4258" t="16625" r="27452" b="5556"/>
                    <a:stretch>
                      <a:fillRect/>
                    </a:stretch>
                  </pic:blipFill>
                  <pic:spPr>
                    <a:xfrm>
                      <a:off x="0" y="0"/>
                      <a:ext cx="4100195" cy="347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A0C02">
      <w:pPr>
        <w:pStyle w:val="2"/>
        <w:bidi w:val="0"/>
        <w:jc w:val="center"/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1"/>
          <w:szCs w:val="21"/>
          <w:lang w:val="en-US" w:eastAsia="zh-CN"/>
        </w:rPr>
        <w:t>图A4雅连（选货）规格等级性状图</w:t>
      </w:r>
    </w:p>
    <w:p w14:paraId="2FA5188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bookmarkEnd w:id="20"/>
    <w:p w14:paraId="48686AB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center"/>
        <w:outlineLvl w:val="0"/>
        <w:rPr>
          <w:rFonts w:ascii="黑体" w:hAnsi="黑体" w:eastAsia="黑体"/>
          <w:strike/>
          <w:color w:val="000000"/>
          <w:szCs w:val="21"/>
        </w:rPr>
      </w:pPr>
      <w:bookmarkStart w:id="21" w:name="_Toc29162"/>
      <w:bookmarkStart w:id="22" w:name="_Toc5517"/>
      <w:bookmarkStart w:id="23" w:name="_Toc23232"/>
      <w:bookmarkStart w:id="24" w:name="_Toc25235"/>
      <w:bookmarkStart w:id="25" w:name="_Toc5990"/>
      <w:bookmarkStart w:id="26" w:name="_Toc501701529"/>
      <w:bookmarkStart w:id="27" w:name="_Toc17181"/>
    </w:p>
    <w:bookmarkEnd w:id="21"/>
    <w:bookmarkEnd w:id="22"/>
    <w:bookmarkEnd w:id="23"/>
    <w:bookmarkEnd w:id="24"/>
    <w:bookmarkEnd w:id="25"/>
    <w:bookmarkEnd w:id="26"/>
    <w:bookmarkEnd w:id="27"/>
    <w:p w14:paraId="5F87DA7D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center"/>
        <w:textAlignment w:val="auto"/>
        <w:outlineLvl w:val="0"/>
        <w:rPr>
          <w:rFonts w:ascii="黑体" w:hAnsi="黑体" w:eastAsia="黑体" w:cs="宋体"/>
          <w:szCs w:val="21"/>
        </w:rPr>
      </w:pPr>
      <w:bookmarkStart w:id="28" w:name="_Toc16858"/>
      <w:bookmarkStart w:id="29" w:name="_Toc15722"/>
      <w:bookmarkStart w:id="30" w:name="_Toc30293"/>
      <w:bookmarkStart w:id="31" w:name="_Toc9701"/>
      <w:bookmarkStart w:id="32" w:name="_Toc7443"/>
      <w:bookmarkStart w:id="33" w:name="_Toc27406"/>
      <w:bookmarkStart w:id="34" w:name="_Toc25047693"/>
      <w:bookmarkStart w:id="35" w:name="_Toc26118"/>
      <w:r>
        <w:rPr>
          <w:rFonts w:hint="eastAsia" w:ascii="黑体" w:hAnsi="黑体" w:eastAsia="黑体" w:cs="宋体"/>
          <w:szCs w:val="21"/>
        </w:rPr>
        <w:t>参考文献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3844F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[1] 全国人民代表大会常务委员会.中华人民共和国中医药法[M].北京:法律出版社,2017.</w:t>
      </w:r>
    </w:p>
    <w:p w14:paraId="02CA8D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[2] 国家药典委员会.中华人民共和国药典[M].北京:中国医药科技出版社,2020.</w:t>
      </w:r>
    </w:p>
    <w:p w14:paraId="1A2499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[3] 黄璐琦,郭兰萍,詹志来,等.中药材商品规格等级标准编制通则[S].北京:中国医药科技出版社,2018.</w:t>
      </w:r>
    </w:p>
    <w:p w14:paraId="7B1BEC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[4] 彭成.中华道地药材[M].中国中医药出版社,2013.</w:t>
      </w:r>
    </w:p>
    <w:p w14:paraId="7AE3F8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[5] 肖小河,黄璐琦.中药材商品规格标准化研究[M].人民卫生出版社,2016.</w:t>
      </w:r>
    </w:p>
    <w:p w14:paraId="309F9B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[6] 黄璐琦,詹志来,郭兰萍,等.中药材商品规格等级标准汇编[G].中国中医药出版社,2019.</w:t>
      </w:r>
    </w:p>
    <w:p w14:paraId="1ACECD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[7] 黄璐琦.道地药材品质保证技术研究[M].上海科学技术出版社,2017.</w:t>
      </w:r>
    </w:p>
    <w:p w14:paraId="6F8E46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color w:val="auto"/>
        </w:rPr>
        <w:t>[8] 黄璐琦.《新编中国药材学》[M].中国医药科技出版社,2020.</w:t>
      </w:r>
    </w:p>
    <w:p w14:paraId="18780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highlight w:val="none"/>
        </w:rPr>
      </w:pPr>
    </w:p>
    <w:p w14:paraId="31B9EB20">
      <w:pPr>
        <w:keepNext w:val="0"/>
        <w:keepLines w:val="0"/>
        <w:pageBreakBefore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left"/>
      </w:pPr>
      <w:r>
        <w:rPr>
          <w:rFonts w:hint="eastAsia"/>
        </w:rPr>
        <w:tab/>
      </w:r>
    </w:p>
    <w:p w14:paraId="50096B0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</w:pPr>
    </w:p>
    <w:sectPr>
      <w:headerReference r:id="rId9" w:type="default"/>
      <w:footerReference r:id="rId10" w:type="default"/>
      <w:footerReference r:id="rId11" w:type="even"/>
      <w:pgSz w:w="11906" w:h="16838"/>
      <w:pgMar w:top="1417" w:right="1134" w:bottom="1134" w:left="1417" w:header="850" w:footer="850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C59608">
    <w:pPr>
      <w:pStyle w:val="5"/>
      <w:ind w:firstLine="360"/>
      <w:jc w:val="right"/>
    </w:pPr>
  </w:p>
  <w:p w14:paraId="1A57B0A9">
    <w:pPr>
      <w:pStyle w:val="5"/>
      <w:ind w:left="-283" w:leftChars="-135"/>
      <w:jc w:val="right"/>
    </w:pPr>
  </w:p>
  <w:p w14:paraId="18332A0F">
    <w:pPr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314BF1">
    <w:pPr>
      <w:pStyle w:val="5"/>
      <w:rPr>
        <w:rFonts w:ascii="宋体" w:hAnsi="宋体"/>
      </w:rPr>
    </w:pPr>
  </w:p>
  <w:p w14:paraId="2AF3A3DD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1C3F3A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1485D6">
    <w:pPr>
      <w:spacing w:line="200" w:lineRule="exac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1EF67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kk7QU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kk7Q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1EF67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3752CF">
    <w:pPr>
      <w:pStyle w:val="5"/>
      <w:rPr>
        <w:sz w:val="20"/>
        <w:szCs w:val="20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79349989"/>
                          </w:sdtPr>
                          <w:sdtContent>
                            <w:p w14:paraId="618585DA">
                              <w:pPr>
                                <w:pStyle w:val="5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06ECC1FC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79349989"/>
                    </w:sdtPr>
                    <w:sdtContent>
                      <w:p w14:paraId="618585DA">
                        <w:pPr>
                          <w:pStyle w:val="5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8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06ECC1FC"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A4B2F8">
    <w:pPr>
      <w:pStyle w:val="20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A99D1C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6A99D1C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EB90DE">
    <w:pPr>
      <w:pStyle w:val="6"/>
      <w:pBdr>
        <w:bottom w:val="none" w:color="auto" w:sz="0" w:space="1"/>
      </w:pBdr>
      <w:wordWrap/>
      <w:jc w:val="left"/>
      <w:rPr>
        <w:rFonts w:hint="eastAsia" w:ascii="黑体" w:hAnsi="黑体" w:eastAsia="黑体"/>
        <w:sz w:val="21"/>
        <w:szCs w:val="21"/>
        <w:lang w:val="en-US" w:eastAsia="zh-CN"/>
      </w:rPr>
    </w:pPr>
  </w:p>
  <w:p w14:paraId="27259A3A">
    <w:pPr>
      <w:pStyle w:val="6"/>
      <w:pBdr>
        <w:bottom w:val="none" w:color="auto" w:sz="0" w:space="1"/>
      </w:pBdr>
      <w:wordWrap/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1021.16-2018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F1F3D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C889F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C889F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87D85A">
    <w:pPr>
      <w:pStyle w:val="6"/>
      <w:pBdr>
        <w:bottom w:val="none" w:color="auto" w:sz="0" w:space="1"/>
      </w:pBdr>
      <w:rPr>
        <w:rFonts w:ascii="黑体" w:hAnsi="黑体" w:eastAsia="黑体"/>
        <w:sz w:val="21"/>
        <w:szCs w:val="21"/>
      </w:rPr>
    </w:pPr>
  </w:p>
  <w:p w14:paraId="5F12D065">
    <w:pPr>
      <w:pStyle w:val="6"/>
      <w:pBdr>
        <w:bottom w:val="none" w:color="auto" w:sz="0" w:space="1"/>
      </w:pBdr>
      <w:wordWrap w:val="0"/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1021.16-2018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65F39E2"/>
    <w:rsid w:val="07D478A0"/>
    <w:rsid w:val="0D0C53E6"/>
    <w:rsid w:val="1159291E"/>
    <w:rsid w:val="15B2766E"/>
    <w:rsid w:val="186662F2"/>
    <w:rsid w:val="18FF4CBF"/>
    <w:rsid w:val="1A9D516A"/>
    <w:rsid w:val="1B5A68E3"/>
    <w:rsid w:val="1B78507E"/>
    <w:rsid w:val="1C8675B7"/>
    <w:rsid w:val="1DF413E0"/>
    <w:rsid w:val="1E861C86"/>
    <w:rsid w:val="206D3F96"/>
    <w:rsid w:val="21E33C6F"/>
    <w:rsid w:val="22C8439F"/>
    <w:rsid w:val="23492C57"/>
    <w:rsid w:val="28271F17"/>
    <w:rsid w:val="28550131"/>
    <w:rsid w:val="29FE26F7"/>
    <w:rsid w:val="2A753B73"/>
    <w:rsid w:val="2BF926E9"/>
    <w:rsid w:val="2E27537A"/>
    <w:rsid w:val="31B25CAD"/>
    <w:rsid w:val="3748696A"/>
    <w:rsid w:val="381B1A50"/>
    <w:rsid w:val="3851187F"/>
    <w:rsid w:val="39180AEB"/>
    <w:rsid w:val="39455658"/>
    <w:rsid w:val="398E66CE"/>
    <w:rsid w:val="39930004"/>
    <w:rsid w:val="3AB866F0"/>
    <w:rsid w:val="3CDE1B12"/>
    <w:rsid w:val="425D65EA"/>
    <w:rsid w:val="46566D64"/>
    <w:rsid w:val="486C55E1"/>
    <w:rsid w:val="496B5C9B"/>
    <w:rsid w:val="4A4A2ACF"/>
    <w:rsid w:val="4E1C64F6"/>
    <w:rsid w:val="4E4B6454"/>
    <w:rsid w:val="4F145070"/>
    <w:rsid w:val="5073598C"/>
    <w:rsid w:val="522A30F1"/>
    <w:rsid w:val="52433D42"/>
    <w:rsid w:val="556B21D1"/>
    <w:rsid w:val="55A32714"/>
    <w:rsid w:val="56121E41"/>
    <w:rsid w:val="562C577E"/>
    <w:rsid w:val="56E517AE"/>
    <w:rsid w:val="57600D04"/>
    <w:rsid w:val="58CB55B2"/>
    <w:rsid w:val="595A2602"/>
    <w:rsid w:val="59E56370"/>
    <w:rsid w:val="5D2D6150"/>
    <w:rsid w:val="5E9C27D4"/>
    <w:rsid w:val="5F8A1E93"/>
    <w:rsid w:val="5FFF5CB2"/>
    <w:rsid w:val="6655667C"/>
    <w:rsid w:val="68600824"/>
    <w:rsid w:val="6A0B5941"/>
    <w:rsid w:val="71D36D7A"/>
    <w:rsid w:val="746F2FAE"/>
    <w:rsid w:val="75C90F16"/>
    <w:rsid w:val="76031347"/>
    <w:rsid w:val="76D25B32"/>
    <w:rsid w:val="793F7C21"/>
    <w:rsid w:val="7ADD7E76"/>
    <w:rsid w:val="7D052701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2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qFormat/>
    <w:uiPriority w:val="0"/>
    <w:rPr>
      <w:sz w:val="24"/>
    </w:rPr>
  </w:style>
  <w:style w:type="character" w:styleId="13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4">
    <w:name w:val="实施日期"/>
    <w:basedOn w:val="15"/>
    <w:autoRedefine/>
    <w:qFormat/>
    <w:uiPriority w:val="0"/>
    <w:pPr>
      <w:framePr w:wrap="around" w:vAnchor="page" w:hAnchor="text"/>
      <w:jc w:val="right"/>
    </w:pPr>
  </w:style>
  <w:style w:type="paragraph" w:customStyle="1" w:styleId="15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6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8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9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20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1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4.jpeg"/><Relationship Id="rId15" Type="http://schemas.openxmlformats.org/officeDocument/2006/relationships/image" Target="media/image3.jpeg"/><Relationship Id="rId14" Type="http://schemas.openxmlformats.org/officeDocument/2006/relationships/image" Target="media/image2.jpeg"/><Relationship Id="rId13" Type="http://schemas.openxmlformats.org/officeDocument/2006/relationships/image" Target="media/image1.jpeg"/><Relationship Id="rId12" Type="http://schemas.openxmlformats.org/officeDocument/2006/relationships/theme" Target="theme/theme1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2009</Words>
  <Characters>2677</Characters>
  <Lines>0</Lines>
  <Paragraphs>0</Paragraphs>
  <TotalTime>0</TotalTime>
  <ScaleCrop>false</ScaleCrop>
  <LinksUpToDate>false</LinksUpToDate>
  <CharactersWithSpaces>2764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3C1E2E04D9F4433BBF69BFBE206EDF89_13</vt:lpwstr>
  </property>
</Properties>
</file>