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1BD25">
      <w:pPr>
        <w:ind w:right="-313" w:rightChars="-149"/>
        <w:jc w:val="left"/>
        <w:rPr>
          <w:rFonts w:ascii="黑体" w:hAnsi="黑体" w:eastAsia="黑体"/>
          <w:bCs/>
          <w:color w:val="000000"/>
          <w:szCs w:val="21"/>
        </w:rPr>
      </w:pPr>
      <w:r>
        <w:rPr>
          <w:rFonts w:ascii="黑体" w:hAnsi="黑体" w:eastAsia="黑体"/>
          <w:bCs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94610D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75EE0698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555F8D7A">
                            <w:pPr>
                              <w:pStyle w:val="15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068C1F3D">
                            <w:pPr>
                              <w:pStyle w:val="15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F94610D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75EE0698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555F8D7A">
                      <w:pPr>
                        <w:pStyle w:val="15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068C1F3D">
                      <w:pPr>
                        <w:pStyle w:val="15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7D64611">
      <w:pPr>
        <w:jc w:val="left"/>
        <w:rPr>
          <w:rFonts w:ascii="宋体" w:hAnsi="宋体"/>
          <w:bCs/>
          <w:color w:val="000000"/>
          <w:sz w:val="32"/>
          <w:szCs w:val="32"/>
        </w:rPr>
      </w:pPr>
    </w:p>
    <w:p w14:paraId="3B7A2736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5FE7CF0">
                            <w:pPr>
                              <w:pStyle w:val="15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5FE7CF0">
                      <w:pPr>
                        <w:pStyle w:val="15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9A78668">
      <w:pPr>
        <w:jc w:val="left"/>
        <w:rPr>
          <w:rFonts w:ascii="宋体" w:hAnsi="宋体"/>
          <w:bCs/>
          <w:color w:val="000000"/>
          <w:sz w:val="32"/>
          <w:szCs w:val="32"/>
        </w:rPr>
      </w:pP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-333375</wp:posOffset>
                </wp:positionH>
                <wp:positionV relativeFrom="paragraph">
                  <wp:posOffset>370840</wp:posOffset>
                </wp:positionV>
                <wp:extent cx="6181725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1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26.25pt;margin-top:29.2pt;height:0pt;width:486.75pt;z-index:251662336;mso-width-relative:page;mso-height-relative:page;" filled="f" stroked="t" coordsize="21600,21600" o:gfxdata="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9QlKfXAAAACQEAAA8AAAAAAAAAAQAgAAAA&#10;IgAAAGRycy9kb3ducmV2LnhtbFBLAQIUABQAAAAIAIdO4kB+Sjqx0wEAALMDAAAOAAAAAAAAAAEA&#10;IAAAACYBAABkcnMvZTJvRG9jLnhtbFBLBQYAAAAABgAGAFkBAABr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FBC64C3">
                            <w:pPr>
                              <w:pStyle w:val="16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FBC64C3">
                      <w:pPr>
                        <w:pStyle w:val="16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25BF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/>
        <w:jc w:val="center"/>
        <w:textAlignment w:val="auto"/>
        <w:rPr>
          <w:rFonts w:hint="default" w:ascii="黑体" w:hAnsi="黑体" w:eastAsia="黑体"/>
          <w:bCs/>
          <w:color w:val="000000"/>
          <w:sz w:val="52"/>
          <w:szCs w:val="52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52"/>
          <w:szCs w:val="5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5802630" cy="498475"/>
                <wp:effectExtent l="0" t="0" r="3810" b="4445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630" cy="49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7BBC233">
                            <w:pPr>
                              <w:pStyle w:val="17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0001.1-2024</w:t>
                            </w:r>
                          </w:p>
                          <w:p w14:paraId="67C27A7D">
                            <w:pPr>
                              <w:pStyle w:val="17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39.25pt;width:456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kXe7fbAAAACwEAAA8AAAAA&#10;AAAAAQAgAAAAIgAAAGRycy9kb3ducmV2LnhtbFBLAQIUABQAAAAIAIdO4kBzOxzeEQIAACwEAAAO&#10;AAAAAAAAAAEAIAAAACoBAABkcnMvZTJvRG9jLnhtbFBLBQYAAAAABgAGAFkBAACt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7BBC233">
                      <w:pPr>
                        <w:pStyle w:val="17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0001.1-2024</w:t>
                      </w:r>
                    </w:p>
                    <w:p w14:paraId="67C27A7D">
                      <w:pPr>
                        <w:pStyle w:val="17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道地药材</w:t>
      </w:r>
      <w:r>
        <w:rPr>
          <w:rFonts w:hint="eastAsia" w:ascii="黑体" w:hAnsi="黑体" w:eastAsia="黑体"/>
          <w:bCs/>
          <w:color w:val="000000"/>
          <w:sz w:val="52"/>
          <w:szCs w:val="52"/>
        </w:rPr>
        <w:t>集采交易标准</w:t>
      </w:r>
      <w:r>
        <w:rPr>
          <w:rFonts w:hint="eastAsia" w:ascii="黑体" w:hAnsi="黑体" w:eastAsia="黑体"/>
          <w:bCs/>
          <w:color w:val="000000"/>
          <w:sz w:val="52"/>
          <w:szCs w:val="52"/>
          <w:lang w:val="en-US" w:eastAsia="zh-CN"/>
        </w:rPr>
        <w:t>编制通则</w:t>
      </w:r>
    </w:p>
    <w:p w14:paraId="147B1A78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>Drafting guidelines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TimesNewRomanPSMT" w:hAnsi="TimesNewRomanPSMT" w:eastAsia="TimesNewRomanPSMT" w:cs="TimesNewRomanPSMT"/>
          <w:b w:val="0"/>
          <w:bCs w:val="0"/>
          <w:color w:val="000000"/>
          <w:sz w:val="28"/>
          <w:szCs w:val="28"/>
        </w:rPr>
        <w:t>for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Centralized procurement standard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of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70F03882">
      <w:pPr>
        <w:spacing w:before="312" w:beforeLines="100" w:after="312" w:afterLines="100"/>
        <w:jc w:val="center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t xml:space="preserve"> </w:t>
      </w:r>
    </w:p>
    <w:p w14:paraId="70C83576">
      <w:pPr>
        <w:jc w:val="center"/>
        <w:rPr>
          <w:rFonts w:ascii="宋体" w:hAnsi="宋体"/>
          <w:bCs/>
          <w:color w:val="FF0000"/>
          <w:sz w:val="24"/>
        </w:rPr>
      </w:pPr>
    </w:p>
    <w:p w14:paraId="63611A90">
      <w:pPr>
        <w:rPr>
          <w:rFonts w:ascii="宋体" w:hAnsi="宋体"/>
          <w:bCs/>
          <w:color w:val="000000"/>
          <w:sz w:val="36"/>
          <w:szCs w:val="36"/>
        </w:rPr>
      </w:pPr>
    </w:p>
    <w:p w14:paraId="28DE3811">
      <w:pPr>
        <w:pStyle w:val="11"/>
        <w:framePr w:wrap="around" w:vAnchor="margin" w:yAlign="top"/>
        <w:ind w:left="5250" w:right="280"/>
        <w:rPr>
          <w:color w:val="000000"/>
        </w:rPr>
      </w:pPr>
    </w:p>
    <w:p w14:paraId="70007ACF">
      <w:pPr>
        <w:rPr>
          <w:rFonts w:ascii="宋体" w:hAnsi="宋体"/>
          <w:bCs/>
          <w:color w:val="000000"/>
          <w:sz w:val="36"/>
          <w:szCs w:val="36"/>
        </w:r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7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1244D247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4167AF2">
                                  <w:pPr>
                                    <w:pStyle w:val="18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77A9EB">
                                  <w:pPr>
                                    <w:pStyle w:val="18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6ACAB89D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7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1244D247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4167AF2">
                            <w:pPr>
                              <w:pStyle w:val="18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77A9EB">
                            <w:pPr>
                              <w:pStyle w:val="18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6ACAB89D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margin">
                  <wp:posOffset>4060190</wp:posOffset>
                </wp:positionH>
                <wp:positionV relativeFrom="margin">
                  <wp:posOffset>8014970</wp:posOffset>
                </wp:positionV>
                <wp:extent cx="2019300" cy="312420"/>
                <wp:effectExtent l="0" t="0" r="7620" b="762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6D1E651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201×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19.7pt;margin-top:631.1pt;height:24.6pt;width:159pt;mso-position-horizontal-relative:margin;mso-position-vertical-relative:margin;z-index:251668480;mso-width-relative:page;mso-height-relative:page;" fillcolor="#FFFFFF" filled="t" stroked="f" coordsize="21600,21600" o:gfxdata="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Ty1lJ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6D1E651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201×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ECFFAD7">
                            <w:pPr>
                              <w:pStyle w:val="12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</w:t>
                            </w:r>
                            <w:r>
                              <w:rPr>
                                <w:rFonts w:hint="eastAsia" w:ascii="黑体" w:hAnsi="黑体" w:cs="黑体"/>
                                <w:lang w:val="en-US" w:eastAsia="zh-CN"/>
                              </w:rPr>
                              <w:t>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ECFFAD7">
                      <w:pPr>
                        <w:pStyle w:val="12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</w:t>
                      </w:r>
                      <w:r>
                        <w:rPr>
                          <w:rFonts w:hint="eastAsia" w:ascii="黑体" w:hAnsi="黑体" w:cs="黑体"/>
                          <w:lang w:val="en-US" w:eastAsia="zh-CN"/>
                        </w:rPr>
                        <w:t>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F029B4D">
      <w:pPr>
        <w:tabs>
          <w:tab w:val="left" w:pos="1305"/>
        </w:tabs>
        <w:rPr>
          <w:rFonts w:ascii="Times New Roman" w:hAnsi="Times New Roman"/>
          <w:color w:val="000000"/>
          <w:szCs w:val="21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-177800</wp:posOffset>
                </wp:positionH>
                <wp:positionV relativeFrom="paragraph">
                  <wp:posOffset>2162175</wp:posOffset>
                </wp:positionV>
                <wp:extent cx="596900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9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pt;margin-top:170.25pt;height:0pt;width:470pt;z-index:251666432;mso-width-relative:page;mso-height-relative:page;" filled="f" stroked="t" coordsize="21600,21600" o:gfxdata="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BOrfP72AAAAAsBAAAPAAAAAAAAAAEA&#10;IAAAACIAAABkcnMvZG93bnJldi54bWxQSwECFAAUAAAACACHTuJAp+Kc+tYBAACzAwAADgAAAAAA&#10;AAABACAAAAAnAQAAZHJzL2Uyb0RvYy54bWxQSwUGAAAAAAYABgBZAQAAbw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1FFAEDE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/>
        <w:jc w:val="center"/>
        <w:textAlignment w:val="auto"/>
        <w:outlineLvl w:val="0"/>
        <w:rPr>
          <w:rFonts w:ascii="Times New Roman" w:hAnsi="Times New Roman" w:eastAsia="黑体"/>
          <w:bCs/>
          <w:color w:val="000000"/>
          <w:sz w:val="32"/>
          <w:szCs w:val="32"/>
        </w:rPr>
      </w:pPr>
      <w:bookmarkStart w:id="0" w:name="_Toc32599"/>
      <w:bookmarkStart w:id="1" w:name="_Toc18223"/>
      <w:bookmarkStart w:id="2" w:name="_Toc22401"/>
      <w:bookmarkStart w:id="3" w:name="_Toc5094"/>
      <w:bookmarkStart w:id="4" w:name="_Toc31551"/>
      <w:bookmarkStart w:id="5" w:name="_Toc5123"/>
      <w:bookmarkStart w:id="6" w:name="_Toc21586"/>
      <w:bookmarkStart w:id="7" w:name="_Toc18100"/>
      <w:bookmarkStart w:id="8" w:name="_Toc13472"/>
      <w:bookmarkStart w:id="9" w:name="_Toc26541137"/>
      <w:bookmarkStart w:id="10" w:name="_Toc840"/>
      <w:bookmarkStart w:id="11" w:name="_Toc11998"/>
      <w:bookmarkStart w:id="12" w:name="_Toc30137"/>
      <w:bookmarkStart w:id="13" w:name="_Toc19640"/>
      <w:bookmarkStart w:id="14" w:name="_Toc26679"/>
      <w:bookmarkStart w:id="15" w:name="_Toc16010"/>
      <w:bookmarkStart w:id="16" w:name="_Toc23109710"/>
      <w:bookmarkStart w:id="17" w:name="_Toc13900"/>
      <w:bookmarkStart w:id="18" w:name="_Toc7349"/>
      <w:bookmarkStart w:id="19" w:name="_Toc29175"/>
      <w:bookmarkStart w:id="20" w:name="_Toc465701073"/>
      <w:r>
        <w:rPr>
          <w:rFonts w:ascii="Times New Roman" w:hAnsi="Times New Roman" w:eastAsia="黑体"/>
          <w:bCs/>
          <w:color w:val="000000"/>
          <w:sz w:val="32"/>
          <w:szCs w:val="32"/>
        </w:rPr>
        <w:t>前</w:t>
      </w:r>
      <w:r>
        <w:rPr>
          <w:rFonts w:hint="eastAsia" w:ascii="Times New Roman" w:hAnsi="Times New Roman" w:eastAsia="黑体"/>
          <w:bCs/>
          <w:color w:val="000000"/>
          <w:sz w:val="32"/>
          <w:szCs w:val="32"/>
        </w:rPr>
        <w:t xml:space="preserve">  </w:t>
      </w:r>
      <w:r>
        <w:rPr>
          <w:rFonts w:ascii="Times New Roman" w:hAnsi="Times New Roman" w:eastAsia="黑体"/>
          <w:bCs/>
          <w:color w:val="000000"/>
          <w:sz w:val="32"/>
          <w:szCs w:val="32"/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CE137FC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Times New Roman" w:hAnsi="等线" w:eastAsia="宋体" w:cs="Times New Roman"/>
          <w:color w:val="000000"/>
          <w:sz w:val="21"/>
          <w:szCs w:val="21"/>
        </w:rPr>
      </w:pPr>
      <w:r>
        <w:rPr>
          <w:rFonts w:hint="eastAsia" w:ascii="Times New Roman" w:hAnsi="等线" w:eastAsia="宋体" w:cs="Times New Roman"/>
          <w:color w:val="000000"/>
          <w:sz w:val="21"/>
          <w:szCs w:val="21"/>
        </w:rPr>
        <w:t>本标准按照GB/T 1.1-2009《标准化工作导则 第1部分：标准的结构和编写》给出的规则起草。</w:t>
      </w:r>
    </w:p>
    <w:p w14:paraId="1F0D552C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Times New Roman" w:hAnsi="等线" w:eastAsia="宋体" w:cs="Times New Roman"/>
          <w:color w:val="000000"/>
          <w:sz w:val="21"/>
          <w:szCs w:val="21"/>
        </w:rPr>
      </w:pPr>
      <w:r>
        <w:rPr>
          <w:rFonts w:hint="eastAsia" w:ascii="Times New Roman" w:hAnsi="等线" w:eastAsia="宋体" w:cs="Times New Roman"/>
          <w:color w:val="000000"/>
          <w:sz w:val="21"/>
          <w:szCs w:val="21"/>
        </w:rPr>
        <w:t>本标准由中国</w:t>
      </w:r>
      <w:r>
        <w:rPr>
          <w:rFonts w:hint="eastAsia" w:ascii="Times New Roman" w:hAnsi="等线" w:eastAsia="宋体" w:cs="Times New Roman"/>
          <w:color w:val="000000"/>
          <w:sz w:val="21"/>
          <w:szCs w:val="21"/>
          <w:lang w:val="en-US" w:eastAsia="zh-CN"/>
        </w:rPr>
        <w:t>乡村发展协会</w:t>
      </w:r>
      <w:r>
        <w:rPr>
          <w:rFonts w:hint="eastAsia" w:ascii="Times New Roman" w:hAnsi="等线" w:eastAsia="宋体" w:cs="Times New Roman"/>
          <w:color w:val="000000"/>
          <w:sz w:val="21"/>
          <w:szCs w:val="21"/>
        </w:rPr>
        <w:t>提出并归口。</w:t>
      </w:r>
    </w:p>
    <w:p w14:paraId="187A688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Times New Roman" w:hAnsi="等线" w:eastAsia="宋体" w:cs="Times New Roman"/>
          <w:color w:val="000000"/>
          <w:sz w:val="21"/>
          <w:szCs w:val="21"/>
          <w:lang w:eastAsia="zh-CN"/>
        </w:rPr>
      </w:pPr>
      <w:r>
        <w:rPr>
          <w:rFonts w:hint="eastAsia" w:ascii="Times New Roman" w:hAnsi="等线" w:eastAsia="宋体" w:cs="Times New Roman"/>
          <w:color w:val="000000"/>
          <w:sz w:val="21"/>
          <w:szCs w:val="21"/>
        </w:rPr>
        <w:t>本标准起草单位：中国乡村发展协会中药材产业振兴专业委员会</w:t>
      </w:r>
      <w:r>
        <w:rPr>
          <w:rFonts w:hint="eastAsia" w:ascii="Times New Roman" w:hAnsi="等线" w:cs="Times New Roman"/>
          <w:color w:val="000000"/>
          <w:sz w:val="21"/>
          <w:szCs w:val="21"/>
          <w:lang w:eastAsia="zh-CN"/>
        </w:rPr>
        <w:t>、</w:t>
      </w:r>
      <w:r>
        <w:rPr>
          <w:rFonts w:hint="eastAsia" w:ascii="Times New Roman" w:hAnsi="等线" w:eastAsia="宋体" w:cs="Times New Roman"/>
          <w:color w:val="000000"/>
          <w:sz w:val="21"/>
          <w:szCs w:val="21"/>
        </w:rPr>
        <w:t>中健安检测认证中心有限公司、成都中医药大学、中国医学科学院药用植物研究所、湖北蕲春李时珍中药材交易中心有限公司</w:t>
      </w:r>
      <w:r>
        <w:rPr>
          <w:rFonts w:hint="eastAsia" w:ascii="Times New Roman" w:hAnsi="等线" w:cs="Times New Roman"/>
          <w:color w:val="000000"/>
          <w:sz w:val="21"/>
          <w:szCs w:val="21"/>
          <w:lang w:eastAsia="zh-CN"/>
        </w:rPr>
        <w:t>。</w:t>
      </w:r>
    </w:p>
    <w:p w14:paraId="6B09AE3B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Times New Roman" w:hAnsi="等线" w:eastAsia="宋体" w:cs="Times New Roman"/>
          <w:color w:val="000000"/>
          <w:sz w:val="21"/>
          <w:szCs w:val="21"/>
        </w:rPr>
      </w:pPr>
      <w:r>
        <w:rPr>
          <w:rFonts w:hint="eastAsia" w:ascii="Times New Roman" w:hAnsi="等线" w:eastAsia="宋体" w:cs="Times New Roman"/>
          <w:color w:val="000000"/>
          <w:sz w:val="21"/>
          <w:szCs w:val="21"/>
        </w:rPr>
        <w:t>本标准主要起草人：</w:t>
      </w:r>
      <w:bookmarkStart w:id="30" w:name="_GoBack"/>
      <w:bookmarkEnd w:id="30"/>
    </w:p>
    <w:p w14:paraId="2661039D">
      <w:pPr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ascii="黑体" w:hAnsi="黑体" w:eastAsia="黑体"/>
          <w:bCs/>
          <w:color w:val="000000"/>
          <w:sz w:val="32"/>
          <w:szCs w:val="32"/>
        </w:rPr>
        <w:br w:type="page"/>
      </w:r>
    </w:p>
    <w:p w14:paraId="4A87CEBA">
      <w:pPr>
        <w:pStyle w:val="3"/>
        <w:snapToGrid/>
        <w:spacing w:before="312" w:beforeLines="100" w:after="312" w:afterLines="100"/>
        <w:jc w:val="center"/>
        <w:rPr>
          <w:rFonts w:ascii="黑体" w:hAnsi="黑体" w:eastAsia="黑体"/>
          <w:bCs/>
          <w:color w:val="000000"/>
          <w:sz w:val="32"/>
          <w:szCs w:val="32"/>
        </w:rPr>
      </w:pPr>
    </w:p>
    <w:p w14:paraId="1B00DB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center"/>
        <w:textAlignment w:val="auto"/>
        <w:rPr>
          <w:rFonts w:hint="default" w:ascii="黑体" w:hAnsi="黑体" w:eastAsia="黑体" w:cs="Times New Roman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32"/>
          <w:szCs w:val="32"/>
          <w:lang w:val="en-US" w:eastAsia="zh-CN"/>
        </w:rPr>
        <w:t>道地药材</w:t>
      </w:r>
      <w:r>
        <w:rPr>
          <w:rFonts w:hint="eastAsia" w:ascii="黑体" w:hAnsi="黑体" w:eastAsia="黑体" w:cs="Times New Roman"/>
          <w:bCs/>
          <w:color w:val="000000"/>
          <w:sz w:val="32"/>
          <w:szCs w:val="32"/>
        </w:rPr>
        <w:t>集采交易标准</w:t>
      </w:r>
      <w:r>
        <w:rPr>
          <w:rFonts w:hint="eastAsia" w:ascii="黑体" w:hAnsi="黑体" w:eastAsia="黑体" w:cs="Times New Roman"/>
          <w:bCs/>
          <w:color w:val="000000"/>
          <w:sz w:val="32"/>
          <w:szCs w:val="32"/>
          <w:lang w:val="en-US" w:eastAsia="zh-CN"/>
        </w:rPr>
        <w:t>编制通则</w:t>
      </w:r>
    </w:p>
    <w:p w14:paraId="526C9CBD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1 范围</w:t>
      </w:r>
    </w:p>
    <w:p w14:paraId="5AED9C4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本标准规定了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在集采交易交易标准制定的要求、规则和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集采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要求。</w:t>
      </w:r>
    </w:p>
    <w:p w14:paraId="4FC2A38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本标准适用于指导中药材交易标准的编制。</w:t>
      </w:r>
    </w:p>
    <w:p w14:paraId="732ABA47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2 规范性引用文件</w:t>
      </w:r>
    </w:p>
    <w:p w14:paraId="4F330FC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179A5B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《中华人民共和国药典》</w:t>
      </w:r>
    </w:p>
    <w:p w14:paraId="7F298BC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T/CACM 1021.1－2016《中药材商品规格等级编制通则》</w:t>
      </w:r>
    </w:p>
    <w:p w14:paraId="4ABB45B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《中药材商品电子交易规格标准》</w:t>
      </w:r>
    </w:p>
    <w:p w14:paraId="54A0CF0D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3 术语和定义</w:t>
      </w:r>
    </w:p>
    <w:p w14:paraId="045684DD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 xml:space="preserve">3.1 </w:t>
      </w:r>
    </w:p>
    <w:p w14:paraId="6F0A651F">
      <w:pPr>
        <w:pStyle w:val="3"/>
        <w:snapToGrid/>
        <w:spacing w:before="312" w:beforeLines="100" w:after="312" w:afterLines="100"/>
        <w:ind w:firstLine="420" w:firstLineChars="200"/>
        <w:jc w:val="both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集采</w:t>
      </w:r>
    </w:p>
    <w:p w14:paraId="7E5CF29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集中采购。</w:t>
      </w:r>
    </w:p>
    <w:p w14:paraId="73D08D9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注:中药材集采常见形式包括但不限于政府集中采购、地方集中采购、行业集采及其他社会组织集中采购行为。</w:t>
      </w:r>
    </w:p>
    <w:p w14:paraId="78EF9B7C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 xml:space="preserve">3.2 </w:t>
      </w:r>
    </w:p>
    <w:p w14:paraId="65E784CD">
      <w:pPr>
        <w:pStyle w:val="3"/>
        <w:snapToGrid/>
        <w:spacing w:before="312" w:beforeLines="100" w:after="312" w:afterLines="100"/>
        <w:ind w:firstLine="420" w:firstLineChars="200"/>
        <w:jc w:val="both"/>
        <w:rPr>
          <w:rFonts w:hint="default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道地药材genuine regional materia medica</w:t>
      </w:r>
    </w:p>
    <w:p w14:paraId="6372D98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经过中医临床长期应用优选出来的,产在特定地域,与其他地区所产同种中药材相比,品质和疗效更好,且质量稳定,具有较高知名度的中药材。</w:t>
      </w:r>
    </w:p>
    <w:p w14:paraId="302287F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注1:定义中“经中医临床长期应用”和“具有较高知名度”指具有明确历史文献记载,在行业内得到广泛认可。</w:t>
      </w:r>
    </w:p>
    <w:p w14:paraId="0FBDE28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注2:定义中“转定地域,与其他地区所产同种中药材相比,品质和疗效更好,且质量稳定”在本文件中具体体现在;道地产区、基原、特定生产和加工方法、性状特征及临床疗效。</w:t>
      </w:r>
    </w:p>
    <w:p w14:paraId="251E7FE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注3:引自《中华人民共和国中医药法》,“道地药材”定义。</w:t>
      </w:r>
    </w:p>
    <w:p w14:paraId="7FEC5299">
      <w:pPr>
        <w:pStyle w:val="3"/>
        <w:snapToGrid/>
        <w:spacing w:before="312" w:beforeLines="100" w:after="312" w:afterLines="100"/>
        <w:jc w:val="both"/>
        <w:rPr>
          <w:rFonts w:hint="default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4 基本原则</w:t>
      </w:r>
    </w:p>
    <w:p w14:paraId="5BDC07C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4.1 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集采交易标准应包含药材来源、性状、检查、含量、质量管理等基本要素。</w:t>
      </w:r>
    </w:p>
    <w:p w14:paraId="70623EB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4.2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根据交易药材各项要素的品质差异性，区分集采交易药材的规格等级。</w:t>
      </w:r>
    </w:p>
    <w:p w14:paraId="558A419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4.3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集采交易的规格等级分为统货和选货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二级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</w:t>
      </w:r>
    </w:p>
    <w:p w14:paraId="5E59A0D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4.4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标准的制定应包含不同等级药材的完整要素，包括共同要素和差异性要素。</w:t>
      </w:r>
    </w:p>
    <w:p w14:paraId="7269D77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 xml:space="preserve">4.5 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以表格比较形式进行标准的编制，参考附件一。</w:t>
      </w:r>
    </w:p>
    <w:p w14:paraId="11CBC0A0">
      <w:pPr>
        <w:pStyle w:val="3"/>
        <w:snapToGrid/>
        <w:spacing w:before="312" w:beforeLines="100" w:after="312" w:afterLines="100"/>
        <w:jc w:val="both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5 交易要求</w:t>
      </w:r>
    </w:p>
    <w:p w14:paraId="5A2D527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5.1来源</w:t>
      </w:r>
    </w:p>
    <w:p w14:paraId="5AC6A71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5.1.1 种源</w:t>
      </w:r>
    </w:p>
    <w:p w14:paraId="09DE323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应描述清楚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的确切种源，种源应符合药典要求，注明学名和拉丁名。</w:t>
      </w:r>
    </w:p>
    <w:p w14:paraId="2B8542A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5.1.2 药用部位</w:t>
      </w:r>
    </w:p>
    <w:p w14:paraId="6816B1E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应明确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的采收部位，与药典规定要一致。</w:t>
      </w:r>
    </w:p>
    <w:p w14:paraId="0B24CC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5.1.3 产地</w:t>
      </w:r>
    </w:p>
    <w:p w14:paraId="0FEBB8A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产地是影响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品质的重要要素，集采交易的中药材应来源于传统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产区或核心产区。</w:t>
      </w:r>
    </w:p>
    <w:p w14:paraId="6905703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5.1.4 采收期</w:t>
      </w:r>
    </w:p>
    <w:p w14:paraId="78FD36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中药材应在适当的采收期内进行采收，包括采收年限、采收时间等，部分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应设置最低采收年限。</w:t>
      </w:r>
    </w:p>
    <w:p w14:paraId="2E97C81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5.1.5 产地加工</w:t>
      </w:r>
    </w:p>
    <w:p w14:paraId="3DA73D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产地加工是影响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品质的重要要素之一，部分药材应按药典要求方法，进行产地加工。</w:t>
      </w:r>
    </w:p>
    <w:p w14:paraId="717A44B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5.1.6 陈放年限</w:t>
      </w:r>
    </w:p>
    <w:p w14:paraId="26F329E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部分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道地药材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陈化后，其品质差异较为显著，也是区分其品质的重要因素，如化橘红、陈皮等，其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应明确其最低陈化年限要求。</w:t>
      </w:r>
    </w:p>
    <w:p w14:paraId="06674F1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5.1.7 栽培方式</w:t>
      </w:r>
    </w:p>
    <w:p w14:paraId="02C09EF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部分药材采用家种、仿野生种植和野生种植，其品质差异明显，亦可作为规格等级划分的依据，其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应规定栽培方式。</w:t>
      </w:r>
    </w:p>
    <w:p w14:paraId="3DF2A3B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 性状</w:t>
      </w:r>
    </w:p>
    <w:p w14:paraId="60D6106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5.2.1 形状</w:t>
      </w:r>
    </w:p>
    <w:p w14:paraId="566EF29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  <w:t>形状一般与药用部位有关，如根类药材的圆柱形、圆锥形、纺锤形等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。药材形状应与药典规定要求相一致。</w:t>
      </w:r>
    </w:p>
    <w:p w14:paraId="235B0AA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5.2.2 大小</w:t>
      </w:r>
    </w:p>
    <w:p w14:paraId="6D2EC68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药材的大小主要表现为其长度、粗细、厚薄，也可间接表现为其重量等。药材的大小是划分药材等级常见的要素。</w:t>
      </w:r>
    </w:p>
    <w:p w14:paraId="5590FEC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5.2.3 表面</w:t>
      </w:r>
    </w:p>
    <w:p w14:paraId="219C47D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药材表面颜色、纹理、粗糙程度、孔隙、褶皱、有毛无毛等。药材表面应与药典规定要求相一致。</w:t>
      </w:r>
    </w:p>
    <w:p w14:paraId="5736951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5.2.4 断面</w:t>
      </w:r>
    </w:p>
    <w:p w14:paraId="7BDBCAB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药材的断面特征表现为颜色、粉性、平整性、纹路等，集采交易药材的断面应符合药典规定要求。</w:t>
      </w:r>
    </w:p>
    <w:p w14:paraId="498F09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5.2.5 质地</w:t>
      </w:r>
    </w:p>
    <w:p w14:paraId="1FBBA8D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药材的质地特征表现为软硬、坚韧、致密、粘性或粉性等特征，集采交易药材的质地应符合药典规定要求。</w:t>
      </w:r>
    </w:p>
    <w:p w14:paraId="2208A3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5.2.6 气味</w:t>
      </w:r>
    </w:p>
    <w:p w14:paraId="0ABC1C3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药材因其挥发物，会有一定的气、味，部分药材可根据气、味的浓淡等特征进行品质的分类。</w:t>
      </w:r>
    </w:p>
    <w:p w14:paraId="603D855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5.3 检查</w:t>
      </w:r>
    </w:p>
    <w:p w14:paraId="6CF9E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5.3.1 杂质、水分、灰分、浸出物</w:t>
      </w:r>
    </w:p>
    <w:p w14:paraId="6712D4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集采交易药材的杂质、水分、灰分、浸出物应满足药典的要求，部分药材可根据杂质、水分、灰分、浸出物的差异进行分等定级。</w:t>
      </w:r>
    </w:p>
    <w:p w14:paraId="5A9983A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5.3.2 有害物质、毒性成分</w:t>
      </w:r>
    </w:p>
    <w:p w14:paraId="49A46AC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有害物质包括二氧化硫、农残、重金属、黄曲霉素等，集采交易药材应符合药典对有害物质和毒性成分的要求，部分药材科根据有害物质、毒性成分分等定级，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要求有害物质不检出。</w:t>
      </w:r>
    </w:p>
    <w:p w14:paraId="030B3E7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5.3.3 生长调节剂</w:t>
      </w:r>
    </w:p>
    <w:p w14:paraId="3908B35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集采交易药材禁止使用用于药用部位的生长调节剂，</w:t>
      </w: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要求生长调节剂不检出。</w:t>
      </w:r>
    </w:p>
    <w:p w14:paraId="3287DE4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5.4 含量</w:t>
      </w:r>
    </w:p>
    <w:p w14:paraId="0A137C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集采交易药材含量测定应符合药典基本要求。</w:t>
      </w:r>
    </w:p>
    <w:p w14:paraId="144A254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5.5 质量控制</w:t>
      </w:r>
    </w:p>
    <w:p w14:paraId="2049388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5.5.1 可追溯</w:t>
      </w:r>
    </w:p>
    <w:p w14:paraId="54D1F597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集采交易药材应实现生产全过程可追溯，并通过第三方溯源评价。</w:t>
      </w:r>
    </w:p>
    <w:p w14:paraId="19BA5F7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5.5.2 GAP</w:t>
      </w:r>
    </w:p>
    <w:p w14:paraId="38C7A9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应符合中药材GAP管理要求，并通过GAP备案或延伸检查。</w:t>
      </w:r>
    </w:p>
    <w:p w14:paraId="0E519D5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5.5.3 道地药材</w:t>
      </w:r>
    </w:p>
    <w:p w14:paraId="21C183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color w:val="000000"/>
          <w:sz w:val="21"/>
          <w:szCs w:val="21"/>
          <w:lang w:val="en-US" w:eastAsia="zh-CN"/>
        </w:rPr>
        <w:t>选货</w:t>
      </w: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应符合道地药材要求，并通过第三方道地药材认证。</w:t>
      </w:r>
    </w:p>
    <w:p w14:paraId="6C8E8EB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/>
        <w:jc w:val="both"/>
        <w:textAlignment w:val="auto"/>
        <w:rPr>
          <w:rFonts w:hint="default" w:ascii="黑体" w:hAnsi="黑体" w:eastAsia="黑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黑体" w:eastAsia="黑体" w:cs="Times New Roman"/>
          <w:bCs/>
          <w:color w:val="000000"/>
          <w:sz w:val="21"/>
          <w:szCs w:val="21"/>
          <w:lang w:val="en-US" w:eastAsia="zh-CN"/>
        </w:rPr>
        <w:t>5.6 分级要求</w:t>
      </w:r>
    </w:p>
    <w:p w14:paraId="3A7B930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1"/>
          <w:szCs w:val="21"/>
          <w:lang w:val="en-US" w:eastAsia="zh-CN"/>
        </w:rPr>
        <w:t>集采药材统货、选货具体要求见表1。</w:t>
      </w:r>
    </w:p>
    <w:tbl>
      <w:tblPr>
        <w:tblStyle w:val="7"/>
        <w:tblW w:w="992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1984"/>
        <w:gridCol w:w="2976"/>
        <w:gridCol w:w="2977"/>
      </w:tblGrid>
      <w:tr w14:paraId="59A3F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9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1E9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表1 道地药材集采交易标准示例</w:t>
            </w:r>
          </w:p>
        </w:tc>
      </w:tr>
      <w:tr w14:paraId="22BD3E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396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5811B43E">
            <w:pPr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FB96482"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</w:t>
            </w:r>
          </w:p>
          <w:p w14:paraId="38DE1478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等级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4A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统货</w:t>
            </w: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EE2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选货</w:t>
            </w:r>
          </w:p>
        </w:tc>
      </w:tr>
      <w:tr w14:paraId="0F8E5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53D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来源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F1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种源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CC8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BBF2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CBA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1A0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药用部位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244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03D70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3579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2F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采收时间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4D0D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4E1A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E31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7D6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产地加工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40E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FC46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460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D26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产地</w:t>
            </w:r>
          </w:p>
        </w:tc>
        <w:tc>
          <w:tcPr>
            <w:tcW w:w="29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AC3D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D57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2BE9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54C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349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采收年限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F0E1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BF6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5E6E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B4B6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028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陈放年限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66D7F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D5705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554C51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DA7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E3E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栽培方式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4FB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8BAD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270852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67AB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性状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260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形状</w:t>
            </w:r>
          </w:p>
        </w:tc>
        <w:tc>
          <w:tcPr>
            <w:tcW w:w="595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A87A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511E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DD52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3D1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气味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AB5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A3C7D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1C3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78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断面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751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1835F0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FBB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384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质地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FC2A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BC2E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322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EC1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表面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E9A4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D0D8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D7A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4C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F518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重量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B2F52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71CB9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2AB8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834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88C5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长度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BABD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E707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35E7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270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A5C9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直径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B8CB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8FD7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69B7E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9A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BF97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厚度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1FB16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A6303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DA86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5F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  <w:lang w:val="en-US" w:eastAsia="zh-CN"/>
              </w:rPr>
              <w:t>鉴定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B398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55859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DAA802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highlight w:val="none"/>
                <w:u w:val="none"/>
              </w:rPr>
            </w:pPr>
          </w:p>
        </w:tc>
      </w:tr>
      <w:tr w14:paraId="3B57B9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745A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检查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3187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杂质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FE6AE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6FE5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ADCC1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EC0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4EC5D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水分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2D49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90A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97D5E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9E9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287CC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灰分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905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3BA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0FC3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7911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295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浸出物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FE0A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AD78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16CB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27245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AE0E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二氧化硫</w:t>
            </w:r>
          </w:p>
        </w:tc>
        <w:tc>
          <w:tcPr>
            <w:tcW w:w="595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99DF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8692A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C2FF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AC1F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农药残留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C2C2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32F9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03F83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B54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黄曲霉素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DC6C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555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207892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DEBDC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93B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毒性成分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7C383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393D7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5C1C0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FD3BE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066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重金属及有害元素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2338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2DAA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7F349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FFFFFF"/>
            <w:vAlign w:val="center"/>
          </w:tcPr>
          <w:p w14:paraId="1696C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2C0F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生长调节剂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5677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71B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0F8EF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B2C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含量</w:t>
            </w: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CDE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指标成分1</w:t>
            </w:r>
          </w:p>
        </w:tc>
        <w:tc>
          <w:tcPr>
            <w:tcW w:w="595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BB6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7C8DBE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020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E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指标成分2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1A54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4D904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9A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5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可追溯*</w:t>
            </w:r>
          </w:p>
        </w:tc>
        <w:tc>
          <w:tcPr>
            <w:tcW w:w="59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BB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通过第三方溯源评价</w:t>
            </w:r>
          </w:p>
        </w:tc>
      </w:tr>
      <w:tr w14:paraId="062F1A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92B37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DBD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GAP*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435043A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0163B85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GAP备案通过</w:t>
            </w:r>
          </w:p>
        </w:tc>
      </w:tr>
      <w:tr w14:paraId="64FF4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969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C79C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道地药材*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5F11C6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 w14:paraId="30C122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道地药材认证</w:t>
            </w:r>
          </w:p>
        </w:tc>
      </w:tr>
    </w:tbl>
    <w:p w14:paraId="4B4173F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ind w:firstLine="560" w:firstLineChars="200"/>
        <w:jc w:val="both"/>
        <w:textAlignment w:val="auto"/>
        <w:rPr>
          <w:rFonts w:hint="eastAsia" w:ascii="宋体" w:hAnsi="宋体" w:cs="宋体"/>
          <w:bCs/>
          <w:color w:val="000000"/>
          <w:sz w:val="28"/>
          <w:szCs w:val="28"/>
          <w:lang w:val="en-US" w:eastAsia="zh-CN"/>
        </w:rPr>
      </w:pPr>
    </w:p>
    <w:p w14:paraId="5BEC48D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ind w:firstLine="560" w:firstLineChars="200"/>
        <w:jc w:val="both"/>
        <w:textAlignment w:val="auto"/>
        <w:rPr>
          <w:rFonts w:hint="eastAsia" w:ascii="宋体" w:hAnsi="宋体" w:eastAsia="宋体" w:cs="宋体"/>
          <w:bCs/>
          <w:color w:val="000000"/>
          <w:sz w:val="28"/>
          <w:szCs w:val="28"/>
          <w:lang w:val="en-US" w:eastAsia="zh-CN"/>
        </w:rPr>
      </w:pPr>
    </w:p>
    <w:p w14:paraId="711615B6">
      <w:pP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  <w:br w:type="page"/>
      </w:r>
    </w:p>
    <w:p w14:paraId="6C3E313B">
      <w:pPr>
        <w:pStyle w:val="3"/>
        <w:snapToGrid/>
        <w:spacing w:before="312" w:beforeLines="100" w:after="312" w:afterLines="100"/>
        <w:jc w:val="both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</w:p>
    <w:p w14:paraId="62E0B1BE">
      <w:pPr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</w:p>
    <w:p w14:paraId="6EB846F5">
      <w:pPr>
        <w:spacing w:after="283"/>
        <w:jc w:val="center"/>
        <w:outlineLvl w:val="0"/>
        <w:rPr>
          <w:rFonts w:hint="default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附录A</w:t>
      </w:r>
    </w:p>
    <w:p w14:paraId="10A668A2">
      <w:pPr>
        <w:spacing w:after="283"/>
        <w:jc w:val="center"/>
        <w:outlineLvl w:val="0"/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strike w:val="0"/>
          <w:color w:val="000000"/>
          <w:szCs w:val="21"/>
          <w:lang w:val="en-US" w:eastAsia="zh-CN"/>
        </w:rPr>
        <w:t>（规范性附录）</w:t>
      </w:r>
    </w:p>
    <w:p w14:paraId="5B5A37B3">
      <w:pPr>
        <w:spacing w:after="283"/>
        <w:jc w:val="center"/>
        <w:outlineLvl w:val="0"/>
        <w:rPr>
          <w:rFonts w:hint="default" w:ascii="黑体" w:hAnsi="黑体" w:eastAsia="黑体" w:cs="Times New Roman"/>
          <w:strike w:val="0"/>
          <w:color w:val="000000"/>
          <w:szCs w:val="21"/>
          <w:lang w:val="en-US" w:eastAsia="zh-CN"/>
        </w:rPr>
      </w:pPr>
      <w:r>
        <w:rPr>
          <w:rFonts w:hint="eastAsia" w:ascii="黑体" w:hAnsi="黑体" w:eastAsia="黑体" w:cs="Times New Roman"/>
          <w:strike w:val="0"/>
          <w:color w:val="000000"/>
          <w:szCs w:val="21"/>
          <w:lang w:val="en-US" w:eastAsia="zh-CN"/>
        </w:rPr>
        <w:t>艾叶规格等级性状状图（示例）</w:t>
      </w:r>
    </w:p>
    <w:p w14:paraId="43274397">
      <w:pPr>
        <w:pStyle w:val="2"/>
        <w:spacing w:before="120" w:beforeLines="50" w:after="120" w:afterLines="50"/>
        <w:jc w:val="center"/>
        <w:rPr>
          <w:rFonts w:ascii="Times New Roman" w:hAnsi="Times New Roman" w:eastAsiaTheme="minorEastAsia"/>
          <w:strike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strike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24430" cy="2520315"/>
            <wp:effectExtent l="0" t="0" r="13970" b="9525"/>
            <wp:docPr id="9" name="图片 9" descr="1艾叶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艾叶-统货"/>
                    <pic:cNvPicPr>
                      <a:picLocks noChangeAspect="1"/>
                    </pic:cNvPicPr>
                  </pic:nvPicPr>
                  <pic:blipFill>
                    <a:blip r:embed="rId14"/>
                    <a:srcRect l="1978" t="3442" b="3388"/>
                    <a:stretch>
                      <a:fillRect/>
                    </a:stretch>
                  </pic:blipFill>
                  <pic:spPr>
                    <a:xfrm>
                      <a:off x="0" y="0"/>
                      <a:ext cx="242443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3E8BC0">
      <w:pPr>
        <w:pStyle w:val="2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Times New Roman" w:hAnsi="Times New Roman" w:eastAsia="黑体"/>
        </w:rPr>
        <w:t>图A1 艾叶</w:t>
      </w:r>
      <w:r>
        <w:rPr>
          <w:rFonts w:hint="eastAsia" w:ascii="Times New Roman" w:hAnsi="Times New Roman" w:eastAsia="黑体"/>
          <w:lang w:val="zh-CN"/>
        </w:rPr>
        <w:t>（</w:t>
      </w:r>
      <w:r>
        <w:rPr>
          <w:rFonts w:hint="eastAsia" w:ascii="Times New Roman" w:hAnsi="Times New Roman" w:eastAsia="黑体"/>
        </w:rPr>
        <w:t>统货</w:t>
      </w:r>
      <w:r>
        <w:rPr>
          <w:rFonts w:hint="eastAsia" w:ascii="Times New Roman" w:hAnsi="Times New Roman" w:eastAsia="黑体"/>
          <w:lang w:val="zh-CN"/>
        </w:rPr>
        <w:t>）</w:t>
      </w:r>
      <w:r>
        <w:rPr>
          <w:rFonts w:hint="eastAsia" w:ascii="Times New Roman" w:hAnsi="Times New Roman" w:eastAsia="黑体"/>
        </w:rPr>
        <w:t>规格</w:t>
      </w:r>
      <w:r>
        <w:rPr>
          <w:rFonts w:hint="eastAsia" w:ascii="Times New Roman" w:hAnsi="Times New Roman" w:eastAsia="黑体"/>
          <w:lang w:val="zh-CN"/>
        </w:rPr>
        <w:t>等级</w:t>
      </w:r>
      <w:r>
        <w:rPr>
          <w:rFonts w:hint="eastAsia" w:ascii="Times New Roman" w:hAnsi="Times New Roman" w:eastAsia="黑体"/>
        </w:rPr>
        <w:t>性状</w:t>
      </w:r>
      <w:r>
        <w:rPr>
          <w:rFonts w:hint="eastAsia" w:ascii="Times New Roman" w:hAnsi="Times New Roman" w:eastAsia="黑体"/>
          <w:lang w:val="zh-CN"/>
        </w:rPr>
        <w:t>图</w:t>
      </w:r>
    </w:p>
    <w:p w14:paraId="382C43E4">
      <w:pPr>
        <w:pStyle w:val="2"/>
        <w:spacing w:before="120" w:beforeLines="50" w:after="120" w:afterLines="50"/>
        <w:jc w:val="center"/>
        <w:rPr>
          <w:rFonts w:ascii="Times New Roman" w:hAnsi="Times New Roman" w:eastAsia="黑体"/>
          <w:lang w:val="zh-CN"/>
        </w:rPr>
      </w:pPr>
      <w:r>
        <w:rPr>
          <w:rFonts w:hint="eastAsia" w:ascii="Times New Roman" w:hAnsi="Times New Roman" w:eastAsia="黑体"/>
        </w:rPr>
        <w:drawing>
          <wp:inline distT="0" distB="0" distL="114300" distR="114300">
            <wp:extent cx="2609215" cy="2520315"/>
            <wp:effectExtent l="0" t="0" r="12065" b="9525"/>
            <wp:docPr id="16" name="图片 16" descr="1艾叶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艾叶-选货"/>
                    <pic:cNvPicPr>
                      <a:picLocks noChangeAspect="1"/>
                    </pic:cNvPicPr>
                  </pic:nvPicPr>
                  <pic:blipFill>
                    <a:blip r:embed="rId15"/>
                    <a:srcRect l="2870"/>
                    <a:stretch>
                      <a:fillRect/>
                    </a:stretch>
                  </pic:blipFill>
                  <pic:spPr>
                    <a:xfrm>
                      <a:off x="0" y="0"/>
                      <a:ext cx="2609215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F7DEA">
      <w:pPr>
        <w:pStyle w:val="3"/>
        <w:snapToGrid/>
        <w:spacing w:before="312" w:beforeLines="100" w:after="312" w:afterLines="100"/>
        <w:jc w:val="center"/>
        <w:rPr>
          <w:rFonts w:hint="default" w:ascii="黑体" w:hAnsi="黑体" w:eastAsia="黑体"/>
          <w:bCs/>
          <w:color w:val="000000"/>
          <w:sz w:val="30"/>
          <w:szCs w:val="30"/>
          <w:lang w:val="en-US" w:eastAsia="zh-CN"/>
        </w:rPr>
      </w:pPr>
      <w:r>
        <w:rPr>
          <w:rFonts w:hint="eastAsia" w:ascii="Times New Roman" w:hAnsi="Times New Roman" w:eastAsia="黑体"/>
        </w:rPr>
        <w:t>图A2 艾叶</w:t>
      </w:r>
      <w:r>
        <w:rPr>
          <w:rFonts w:hint="eastAsia" w:ascii="Times New Roman" w:hAnsi="Times New Roman" w:eastAsia="黑体"/>
          <w:lang w:val="zh-CN"/>
        </w:rPr>
        <w:t>（</w:t>
      </w:r>
      <w:r>
        <w:rPr>
          <w:rFonts w:hint="eastAsia" w:ascii="Times New Roman" w:hAnsi="Times New Roman" w:eastAsia="黑体"/>
        </w:rPr>
        <w:t>选货</w:t>
      </w:r>
      <w:r>
        <w:rPr>
          <w:rFonts w:hint="eastAsia" w:ascii="Times New Roman" w:hAnsi="Times New Roman" w:eastAsia="黑体"/>
          <w:lang w:val="zh-CN"/>
        </w:rPr>
        <w:t>）</w:t>
      </w:r>
      <w:r>
        <w:rPr>
          <w:rFonts w:hint="eastAsia" w:ascii="Times New Roman" w:hAnsi="Times New Roman" w:eastAsia="黑体"/>
        </w:rPr>
        <w:t>规格</w:t>
      </w:r>
      <w:r>
        <w:rPr>
          <w:rFonts w:hint="eastAsia" w:ascii="Times New Roman" w:hAnsi="Times New Roman" w:eastAsia="黑体"/>
          <w:lang w:val="zh-CN"/>
        </w:rPr>
        <w:t>等级</w:t>
      </w:r>
      <w:r>
        <w:rPr>
          <w:rFonts w:hint="eastAsia" w:ascii="Times New Roman" w:hAnsi="Times New Roman" w:eastAsia="黑体"/>
        </w:rPr>
        <w:t>性状</w:t>
      </w:r>
      <w:r>
        <w:rPr>
          <w:rFonts w:hint="eastAsia" w:ascii="Times New Roman" w:hAnsi="Times New Roman" w:eastAsia="黑体"/>
          <w:lang w:val="zh-CN"/>
        </w:rPr>
        <w:t>图</w:t>
      </w:r>
    </w:p>
    <w:bookmarkEnd w:id="20"/>
    <w:p w14:paraId="0B2D4CD7">
      <w:pPr>
        <w:pStyle w:val="2"/>
        <w:spacing w:line="360" w:lineRule="auto"/>
        <w:ind w:left="0" w:firstLine="420" w:firstLineChars="200"/>
        <w:rPr>
          <w:rFonts w:ascii="Times New Roman" w:hAnsi="Times New Roman" w:eastAsia="Times New Roman"/>
          <w:strike/>
        </w:rPr>
        <w:sectPr>
          <w:headerReference r:id="rId8" w:type="default"/>
          <w:footerReference r:id="rId9" w:type="default"/>
          <w:footerReference r:id="rId10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bookmarkStart w:id="21" w:name="_Toc501701529"/>
    </w:p>
    <w:bookmarkEnd w:id="21"/>
    <w:p w14:paraId="4E3B7AD4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0"/>
        <w:rPr>
          <w:rFonts w:hint="eastAsia" w:ascii="黑体" w:hAnsi="黑体" w:eastAsia="黑体" w:cs="宋体"/>
          <w:szCs w:val="21"/>
        </w:rPr>
      </w:pPr>
      <w:bookmarkStart w:id="22" w:name="_Toc25047693"/>
      <w:bookmarkStart w:id="23" w:name="_Toc26118"/>
      <w:bookmarkStart w:id="24" w:name="_Toc7443"/>
      <w:bookmarkStart w:id="25" w:name="_Toc16858"/>
      <w:bookmarkStart w:id="26" w:name="_Toc9701"/>
      <w:bookmarkStart w:id="27" w:name="_Toc30293"/>
      <w:bookmarkStart w:id="28" w:name="_Toc15722"/>
      <w:bookmarkStart w:id="29" w:name="_Toc27406"/>
      <w:r>
        <w:rPr>
          <w:rFonts w:hint="eastAsia" w:ascii="黑体" w:hAnsi="黑体" w:eastAsia="黑体" w:cs="宋体"/>
          <w:szCs w:val="21"/>
        </w:rPr>
        <w:t>参考文献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4AA039DB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5F38278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7D12AE1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0E47B3D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7A345F0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E48A2B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0D1B221B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6B793C08">
      <w:pPr>
        <w:keepNext w:val="0"/>
        <w:keepLines w:val="0"/>
        <w:pageBreakBefore w:val="0"/>
        <w:widowControl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7620" b="1524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7456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72ABEBA">
      <w:pPr>
        <w:jc w:val="left"/>
      </w:pPr>
    </w:p>
    <w:p w14:paraId="7D20F341">
      <w:pPr>
        <w:tabs>
          <w:tab w:val="left" w:pos="6408"/>
        </w:tabs>
        <w:jc w:val="left"/>
      </w:pPr>
      <w:r>
        <w:rPr>
          <w:rFonts w:hint="eastAsia"/>
        </w:rPr>
        <w:tab/>
      </w:r>
    </w:p>
    <w:p w14:paraId="7C14FB17"/>
    <w:sectPr>
      <w:footerReference r:id="rId11" w:type="default"/>
      <w:footerReference r:id="rId12" w:type="even"/>
      <w:pgSz w:w="11906" w:h="16838"/>
      <w:pgMar w:top="1417" w:right="1134" w:bottom="1134" w:left="1417" w:header="850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F82AF6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3C61146B">
    <w:pPr>
      <w:pStyle w:val="3"/>
      <w:ind w:left="-283" w:leftChars="-135"/>
      <w:jc w:val="right"/>
    </w:pPr>
  </w:p>
  <w:p w14:paraId="5C12882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596F9F">
    <w:pPr>
      <w:pStyle w:val="3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42190B5E"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DCCDFA">
    <w:pPr>
      <w:pStyle w:val="3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1238B7">
    <w:pPr>
      <w:pStyle w:val="3"/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2792E4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3DDBB8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F3DDBB8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3A3FCE87">
        <w:pPr>
          <w:pStyle w:val="3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139F10C1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9882EB">
    <w:pPr>
      <w:pStyle w:val="17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1C8184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41C8184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B54877"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82372C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0DD919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60DD919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A70E42">
    <w:pPr>
      <w:pStyle w:val="4"/>
      <w:pBdr>
        <w:bottom w:val="none" w:color="auto" w:sz="0" w:space="1"/>
      </w:pBdr>
      <w:jc w:val="right"/>
      <w:rPr>
        <w:rFonts w:hint="default"/>
        <w:lang w:val="en-US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0001.1-2024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56B491D"/>
    <w:rsid w:val="05932B4C"/>
    <w:rsid w:val="05D84E57"/>
    <w:rsid w:val="070A529F"/>
    <w:rsid w:val="07D478A0"/>
    <w:rsid w:val="07D70B9D"/>
    <w:rsid w:val="14755F67"/>
    <w:rsid w:val="15B2766E"/>
    <w:rsid w:val="18194C1A"/>
    <w:rsid w:val="186662F2"/>
    <w:rsid w:val="1AB14DB6"/>
    <w:rsid w:val="1B5A68E3"/>
    <w:rsid w:val="1B78507E"/>
    <w:rsid w:val="1C8675B7"/>
    <w:rsid w:val="1CA5186C"/>
    <w:rsid w:val="1E861C86"/>
    <w:rsid w:val="23492C57"/>
    <w:rsid w:val="27AF2FB2"/>
    <w:rsid w:val="2AFF3756"/>
    <w:rsid w:val="2C6B024C"/>
    <w:rsid w:val="39455658"/>
    <w:rsid w:val="398C6FC0"/>
    <w:rsid w:val="42FE71C9"/>
    <w:rsid w:val="452C4C73"/>
    <w:rsid w:val="4D984CA5"/>
    <w:rsid w:val="4E1C64F6"/>
    <w:rsid w:val="4E4B6454"/>
    <w:rsid w:val="4F145070"/>
    <w:rsid w:val="5073598C"/>
    <w:rsid w:val="527C300E"/>
    <w:rsid w:val="538235B2"/>
    <w:rsid w:val="556B21D1"/>
    <w:rsid w:val="56121E41"/>
    <w:rsid w:val="595A2602"/>
    <w:rsid w:val="5D2D6150"/>
    <w:rsid w:val="5D8424FF"/>
    <w:rsid w:val="5F8A1E93"/>
    <w:rsid w:val="628F5A13"/>
    <w:rsid w:val="6655667C"/>
    <w:rsid w:val="6E3E50D6"/>
    <w:rsid w:val="6ECC68C3"/>
    <w:rsid w:val="6F1E7F02"/>
    <w:rsid w:val="71D36D7A"/>
    <w:rsid w:val="746F2FAE"/>
    <w:rsid w:val="75C90F16"/>
    <w:rsid w:val="76195369"/>
    <w:rsid w:val="7A51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120"/>
    </w:pPr>
    <w:rPr>
      <w:rFonts w:ascii="宋体" w:hAnsi="宋体"/>
      <w:szCs w:val="21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autoRedefine/>
    <w:qFormat/>
    <w:uiPriority w:val="39"/>
  </w:style>
  <w:style w:type="paragraph" w:styleId="6">
    <w:name w:val="toc 2"/>
    <w:basedOn w:val="1"/>
    <w:next w:val="1"/>
    <w:autoRedefine/>
    <w:qFormat/>
    <w:uiPriority w:val="39"/>
    <w:pPr>
      <w:ind w:left="420" w:leftChars="200"/>
    </w:p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1">
    <w:name w:val="实施日期"/>
    <w:basedOn w:val="12"/>
    <w:autoRedefine/>
    <w:qFormat/>
    <w:uiPriority w:val="0"/>
    <w:pPr>
      <w:framePr w:wrap="around" w:vAnchor="page" w:hAnchor="text"/>
      <w:jc w:val="right"/>
    </w:pPr>
  </w:style>
  <w:style w:type="paragraph" w:customStyle="1" w:styleId="12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3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5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6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7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8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image" Target="media/image2.jpeg"/><Relationship Id="rId14" Type="http://schemas.openxmlformats.org/officeDocument/2006/relationships/image" Target="media/image1.jpeg"/><Relationship Id="rId13" Type="http://schemas.openxmlformats.org/officeDocument/2006/relationships/theme" Target="theme/theme1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71</Words>
  <Characters>151</Characters>
  <Lines>0</Lines>
  <Paragraphs>0</Paragraphs>
  <TotalTime>4</TotalTime>
  <ScaleCrop>false</ScaleCrop>
  <LinksUpToDate>false</LinksUpToDate>
  <CharactersWithSpaces>166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2024-11-22T01:14:22Z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1340DE81D5B74F1B9C4914D310F33B84_11</vt:lpwstr>
  </property>
</Properties>
</file>