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1BE88A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DC17853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68784774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46946C9A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4C1AF679">
                            <w:pPr>
                              <w:pStyle w:val="1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DC17853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68784774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46946C9A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4C1AF679">
                      <w:pPr>
                        <w:pStyle w:val="1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1C17E16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61A220AC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5F216A1">
                            <w:pPr>
                              <w:pStyle w:val="16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5F216A1">
                      <w:pPr>
                        <w:pStyle w:val="16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294A138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377190</wp:posOffset>
                </wp:positionV>
                <wp:extent cx="6120130" cy="0"/>
                <wp:effectExtent l="0" t="4445" r="4445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29.7pt;height:0pt;width:481.9pt;z-index:251662336;mso-width-relative:page;mso-height-relative:page;" filled="f" stroked="t" coordsize="21600,21600" o:gfxdata="UEsDBAoAAAAAAIdO4kAAAAAAAAAAAAAAAAAEAAAAZHJzL1BLAwQUAAAACACHTuJAiHNY8NcAAAAJ&#10;AQAADwAAAGRycy9kb3ducmV2LnhtbE2PwU7DMAyG70i8Q2QkLmhL2lG0lqYTQuLAkW0S16wxbaFx&#10;qiZdx54eIw7jaPvT7+8vNyfXiyOOofOkIVkqEEi1tx01Gva7l8UaRIiGrOk9oYZvDLCprq9KU1g/&#10;0xset7ERHEKhMBraGIdCylC36ExY+gGJbx9+dCbyODbSjmbmcNfLVKkH6UxH/KE1Az63WH9tJ6cB&#10;w5Ql6il3zf71PN+9p+fPedhpfXuTqEcQEU/xAsOvPqtDxU4HP5ENotewSNcrRjVk+T0IBvJVloE4&#10;/C1kVcr/Daof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Ic1jw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2B864A6">
                            <w:pPr>
                              <w:pStyle w:val="17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2B864A6">
                      <w:pPr>
                        <w:pStyle w:val="17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3A5531F">
                            <w:pPr>
                              <w:pStyle w:val="18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.17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27B7C21C">
                            <w:pPr>
                              <w:pStyle w:val="18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/+I5ut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I0oCFI0wWIQDy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/4jm6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3A5531F">
                      <w:pPr>
                        <w:pStyle w:val="18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.17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27B7C21C">
                      <w:pPr>
                        <w:pStyle w:val="18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8EDD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default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药材集采交易标准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 xml:space="preserve"> 浑源黄芪</w:t>
      </w:r>
    </w:p>
    <w:p w14:paraId="7BCE882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3E4D9B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ascii="宋体" w:hAnsi="宋体"/>
          <w:b w:val="0"/>
          <w:bCs w:val="0"/>
          <w:color w:val="FF0000"/>
          <w:sz w:val="24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bidi="ar"/>
          <w14:textFill>
            <w14:solidFill>
              <w14:schemeClr w14:val="tx1"/>
            </w14:solidFill>
          </w14:textFill>
        </w:rPr>
        <w:t>ASTRAGALI RADIX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2B04A91E">
      <w:pPr>
        <w:rPr>
          <w:rFonts w:ascii="宋体" w:hAnsi="宋体"/>
          <w:b w:val="0"/>
          <w:bCs w:val="0"/>
          <w:color w:val="000000"/>
          <w:sz w:val="36"/>
          <w:szCs w:val="36"/>
        </w:rPr>
      </w:pPr>
      <w:bookmarkStart w:id="44" w:name="_GoBack"/>
      <w:bookmarkEnd w:id="44"/>
    </w:p>
    <w:p w14:paraId="729E50F6">
      <w:pPr>
        <w:pStyle w:val="12"/>
        <w:framePr w:wrap="around" w:vAnchor="margin" w:yAlign="top"/>
        <w:ind w:left="5250" w:right="280"/>
        <w:rPr>
          <w:color w:val="000000"/>
        </w:rPr>
      </w:pPr>
    </w:p>
    <w:p w14:paraId="5BDD8FC1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495D2593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BD7920E">
                                  <w:pPr>
                                    <w:pStyle w:val="19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4D466F">
                                  <w:pPr>
                                    <w:pStyle w:val="19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120B7030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495D2593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BD7920E">
                            <w:pPr>
                              <w:pStyle w:val="19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4D466F">
                            <w:pPr>
                              <w:pStyle w:val="19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120B7030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4345940</wp:posOffset>
                </wp:positionH>
                <wp:positionV relativeFrom="margin">
                  <wp:posOffset>8084820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7E0C92B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2.2pt;margin-top:636.6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7n4CVdoAAAAO&#10;AQAADwAAAGRycy9kb3ducmV2LnhtbE2PQW/CMAyF75P2HyJP2mUaCQEx1DVFGmy37QBDnE2TtdUa&#10;p2pSCv9+5jRuz35Pz5/z1dm34uT62AQyMJ0oEI7KYBuqDOy/P56XIGJCstgGcgYuLsKquL/LMbNh&#10;pK077VIluIRihgbqlLpMyljWzmOchM4Rez+h95h47Ctpexy53LdSK7WQHhviCzV2bl278nc3eAOL&#10;TT+MW1o/bfbvn/jVVfrwdjkY8/gwVa8gkjun/zBc8RkdCmY6hoFsFC13LOdzjrKhX2YaxDWilObd&#10;kdVMs5JFLm/fKP4A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7n4CVdoAAAAO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7E0C92B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8085455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76ACB0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6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vAG4RdoAAAAN&#10;AQAADwAAAGRycy9kb3ducmV2LnhtbE2PwW7CMBBE75X6D9ZW6qUCG0elNMRBKrS39gBFnE1skqjx&#10;OrIdAn/f7akcd2Y0+6ZYXVzHzjbE1qOC2VQAs1h502KtYP/9MVkAi0mj0Z1Hq+BqI6zK+7tC58aP&#10;uLXnXaoZlWDMtYImpT7nPFaNdTpOfW+RvJMPTic6Q81N0COVu45LIebc6RbpQ6N7u25s9bMbnIL5&#10;JgzjFtdPm/37p/7qa3l4ux6UenyYiSWwZC/pPwx/+IQOJTEd/YAmsk7BRC5oSyJDvmQZMIrIV0HS&#10;kaRMymfgZcFvV5S/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vAG4Rd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776ACB0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66FBBE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2841625</wp:posOffset>
                </wp:positionV>
                <wp:extent cx="6120130" cy="0"/>
                <wp:effectExtent l="0" t="4445" r="4445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223.75pt;height:0pt;width:481.9pt;z-index:251666432;mso-width-relative:page;mso-height-relative:page;" filled="f" stroked="t" coordsize="21600,21600" o:gfxdata="UEsDBAoAAAAAAIdO4kAAAAAAAAAAAAAAAAAEAAAAZHJzL1BLAwQUAAAACACHTuJAl1GUntgAAAAL&#10;AQAADwAAAGRycy9kb3ducmV2LnhtbE2PTUvDQBCG74L/YRnBi7S7SRttYzZFBA8ebQtet9kxiWZn&#10;Q3bT1P56RxDqbT4e3nmm2JxcJ444hNaThmSuQCBV3rZUa9jvXmYrECEasqbzhBq+McCmvL4qTG79&#10;RG943MZacAiF3GhoYuxzKUPVoDNh7nsk3n34wZnI7VBLO5iJw10nU6XupTMt8YXG9PjcYPW1HZ0G&#10;DGOWqKe1q/ev5+nuPT1/Tv1O69ubRD2CiHiKFxh+9VkdSnY6+JFsEJ2GWbpaMKphuXzIQDCxXmRc&#10;HP4msizk/x/KH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JdRlJ7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3F75C5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ind w:firstLine="0" w:firstLineChars="0"/>
        <w:jc w:val="center"/>
        <w:textAlignment w:val="auto"/>
        <w:outlineLvl w:val="9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30137"/>
      <w:bookmarkStart w:id="1" w:name="_Toc31551"/>
      <w:bookmarkStart w:id="2" w:name="_Toc7349"/>
      <w:bookmarkStart w:id="3" w:name="_Toc5094"/>
      <w:bookmarkStart w:id="4" w:name="_Toc16010"/>
      <w:bookmarkStart w:id="5" w:name="_Toc13472"/>
      <w:bookmarkStart w:id="6" w:name="_Toc11998"/>
      <w:bookmarkStart w:id="7" w:name="_Toc27360"/>
      <w:bookmarkStart w:id="8" w:name="_Toc29175"/>
      <w:bookmarkStart w:id="9" w:name="_Toc18223"/>
      <w:bookmarkStart w:id="10" w:name="_Toc22401"/>
      <w:bookmarkStart w:id="11" w:name="_Toc5123"/>
      <w:bookmarkStart w:id="12" w:name="_Toc32599"/>
      <w:bookmarkStart w:id="13" w:name="_Toc26679"/>
      <w:bookmarkStart w:id="14" w:name="_Toc19640"/>
      <w:bookmarkStart w:id="15" w:name="_Toc23109710"/>
      <w:bookmarkStart w:id="16" w:name="_Toc18100"/>
      <w:bookmarkStart w:id="17" w:name="_Toc840"/>
      <w:bookmarkStart w:id="18" w:name="_Toc13900"/>
      <w:bookmarkStart w:id="19" w:name="_Toc21586"/>
      <w:bookmarkStart w:id="20" w:name="_Toc26541137"/>
      <w:bookmarkStart w:id="21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14:paraId="1CC5DB1D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276FF96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本标准由中国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提出并归口。</w:t>
      </w:r>
    </w:p>
    <w:p w14:paraId="2355A4C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本标准起草单位：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四川省中医药科学院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成都中医药大学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、中健安检测认证中心有限公司。</w:t>
      </w:r>
    </w:p>
    <w:p w14:paraId="549641D0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本标准主要起草人：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李青苗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、高继海、王琦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 w14:paraId="7FCD1EC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after="0"/>
        <w:jc w:val="center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  <w:sectPr>
          <w:headerReference r:id="rId9" w:type="default"/>
          <w:footerReference r:id="rId11" w:type="default"/>
          <w:headerReference r:id="rId10" w:type="even"/>
          <w:footerReference r:id="rId12" w:type="even"/>
          <w:pgSz w:w="11905" w:h="16840"/>
          <w:pgMar w:top="1700" w:right="1020" w:bottom="1300" w:left="1180" w:header="1448" w:footer="1113" w:gutter="0"/>
          <w:pgNumType w:fmt="upperRoman" w:start="1"/>
          <w:cols w:space="720" w:num="1"/>
        </w:sectPr>
      </w:pPr>
    </w:p>
    <w:p w14:paraId="3B8086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浑源黄芪</w:t>
      </w:r>
    </w:p>
    <w:p w14:paraId="4395DFD5">
      <w:pPr>
        <w:pStyle w:val="4"/>
        <w:snapToGrid/>
        <w:spacing w:before="0" w:beforeLines="50" w:after="0" w:afterLines="50"/>
        <w:jc w:val="both"/>
        <w:outlineLvl w:val="0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2" w:name="_Toc3479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  <w:bookmarkEnd w:id="22"/>
    </w:p>
    <w:p w14:paraId="43D3131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浑源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黄芪集采的术语和定义、集采要求。</w:t>
      </w:r>
    </w:p>
    <w:p w14:paraId="53E4D3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浑源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黄芪的集采交易。</w:t>
      </w:r>
    </w:p>
    <w:p w14:paraId="5AA00B94">
      <w:pPr>
        <w:pStyle w:val="4"/>
        <w:snapToGrid/>
        <w:spacing w:before="0" w:beforeLines="50" w:after="0" w:afterLines="50"/>
        <w:jc w:val="both"/>
        <w:outlineLvl w:val="0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3" w:name="_Toc6686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2 规范性引用文件</w:t>
      </w:r>
      <w:bookmarkEnd w:id="23"/>
    </w:p>
    <w:p w14:paraId="75AA3CD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6A3E82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  <w:t>T/ZGXCFZXH 0001.1-2024《</w:t>
      </w:r>
      <w:r>
        <w:rPr>
          <w:rFonts w:hint="eastAsia" w:ascii="宋体" w:hAnsi="宋体" w:cs="Times New Roman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  <w:t>药材集采交易标准编制通则》</w:t>
      </w:r>
    </w:p>
    <w:p w14:paraId="676790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  <w:t>T/CACM 1021.1－2016《中药材商品规格等级</w:t>
      </w:r>
      <w:r>
        <w:rPr>
          <w:rFonts w:hint="eastAsia" w:ascii="宋体" w:hAnsi="宋体" w:cs="Times New Roman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  <w:t>编制通则》</w:t>
      </w:r>
    </w:p>
    <w:p w14:paraId="22B548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Times New Roman"/>
          <w:bCs/>
          <w:color w:val="000000"/>
          <w:sz w:val="21"/>
          <w:szCs w:val="21"/>
          <w:lang w:val="en-US" w:eastAsia="zh-CN"/>
        </w:rPr>
        <w:t>T/CACM 1021.4－2018 《中药材商品规格等级 黄芪》</w:t>
      </w:r>
    </w:p>
    <w:p w14:paraId="110D2001">
      <w:pPr>
        <w:pStyle w:val="4"/>
        <w:snapToGrid/>
        <w:spacing w:before="0" w:beforeLines="50" w:after="0" w:afterLines="50"/>
        <w:jc w:val="both"/>
        <w:outlineLvl w:val="0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4" w:name="_Toc18095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3 术语和定义</w:t>
      </w:r>
      <w:bookmarkEnd w:id="24"/>
    </w:p>
    <w:p w14:paraId="772F0F1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0" w:firstLineChars="0"/>
        <w:jc w:val="left"/>
        <w:textAlignment w:val="auto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5" w:name="_Toc31229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3.1 </w:t>
      </w:r>
    </w:p>
    <w:p w14:paraId="17E07C1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ind w:firstLine="420" w:firstLineChars="200"/>
        <w:jc w:val="left"/>
        <w:textAlignment w:val="auto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浑源黄芪</w:t>
      </w:r>
      <w:bookmarkEnd w:id="25"/>
    </w:p>
    <w:p w14:paraId="0678412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  <w:t>品为豆科植物蒙古黄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芪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lang w:val="en-US" w:eastAsia="zh-CN"/>
        </w:rPr>
        <w:t>Astragalus membranaceus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(Fisch.) Bge. var. mongholicus ( Bge.) Hsiao 的干燥根。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主产于以恒山、太行山陕煤为核心的山西北部、内蒙古中西部。</w:t>
      </w:r>
      <w:r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  <w:t>春、秋二季采挖，除去须根和根头，晒干。</w:t>
      </w:r>
    </w:p>
    <w:p w14:paraId="78E4A703">
      <w:pPr>
        <w:pStyle w:val="4"/>
        <w:snapToGrid/>
        <w:spacing w:before="0" w:beforeLines="50" w:after="0" w:afterLines="50"/>
        <w:jc w:val="both"/>
        <w:outlineLvl w:val="0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6" w:name="_Toc14168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集采要求</w:t>
      </w:r>
      <w:bookmarkEnd w:id="26"/>
    </w:p>
    <w:p w14:paraId="35841B44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7" w:name="_Toc16405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  <w:bookmarkEnd w:id="27"/>
    </w:p>
    <w:p w14:paraId="794589E2">
      <w:pPr>
        <w:pStyle w:val="4"/>
        <w:snapToGrid/>
        <w:spacing w:before="0" w:beforeLines="50" w:after="0" w:afterLines="50"/>
        <w:jc w:val="both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2D412B0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豆科植物蒙古黄芪</w:t>
      </w:r>
      <w:r>
        <w:rPr>
          <w:rFonts w:hint="eastAsia" w:ascii="宋体" w:hAnsi="宋体" w:eastAsia="宋体" w:cs="宋体"/>
          <w:bCs/>
          <w:i/>
          <w:iCs/>
          <w:color w:val="000000"/>
          <w:kern w:val="0"/>
          <w:sz w:val="21"/>
          <w:szCs w:val="21"/>
          <w:lang w:val="en-US" w:eastAsia="zh-CN" w:bidi="ar-SA"/>
        </w:rPr>
        <w:t>Astragalus membranaceus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（Fisch.） Bge. var. mongholicus（ Bge.）Hsiao或膜荚黄芪</w:t>
      </w:r>
      <w:r>
        <w:rPr>
          <w:rFonts w:hint="eastAsia" w:ascii="宋体" w:hAnsi="宋体" w:eastAsia="宋体" w:cs="宋体"/>
          <w:bCs/>
          <w:i/>
          <w:iCs/>
          <w:color w:val="000000"/>
          <w:kern w:val="0"/>
          <w:sz w:val="21"/>
          <w:szCs w:val="21"/>
          <w:lang w:val="en-US" w:eastAsia="zh-CN" w:bidi="ar-SA"/>
        </w:rPr>
        <w:t>Astragalus membranaceus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（Fisch.）Bge.。</w:t>
      </w:r>
    </w:p>
    <w:p w14:paraId="68087C0B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1388D82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干燥根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25C01284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00FD390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主产于以恒山、太行山陕煤为核心的山西北部、内蒙古中西部以及与此地区接壤或临近的甘肃、宁夏、陕西、河北、东北等地区干旱中温带内。</w:t>
      </w:r>
    </w:p>
    <w:p w14:paraId="50D90564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07CFC5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春、秋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二季釆挖。</w:t>
      </w:r>
    </w:p>
    <w:p w14:paraId="286CBDA8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0694A6C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采收后</w:t>
      </w:r>
      <w:r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  <w:t>除去须根和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根头</w:t>
      </w:r>
      <w:r>
        <w:rPr>
          <w:rFonts w:hint="default" w:ascii="宋体" w:hAnsi="宋体" w:cs="宋体"/>
          <w:bCs/>
          <w:color w:val="000000"/>
          <w:sz w:val="21"/>
          <w:szCs w:val="21"/>
          <w:lang w:val="en-US" w:eastAsia="zh-CN"/>
        </w:rPr>
        <w:t>，晒干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4EA9745A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8" w:name="_Toc14547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  <w:bookmarkEnd w:id="28"/>
    </w:p>
    <w:p w14:paraId="538CDD20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5E5FA7A6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呈</w:t>
      </w:r>
      <w:r>
        <w:rPr>
          <w:rFonts w:hint="eastAsia" w:cs="宋体"/>
          <w:bCs/>
          <w:color w:val="000000"/>
          <w:kern w:val="0"/>
          <w:sz w:val="21"/>
          <w:szCs w:val="21"/>
          <w:lang w:val="en-US" w:eastAsia="zh-CN" w:bidi="ar-SA"/>
        </w:rPr>
        <w:t>圆柱</w:t>
      </w: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形，</w:t>
      </w:r>
      <w:r>
        <w:rPr>
          <w:rFonts w:hint="eastAsia" w:cs="宋体"/>
          <w:bCs/>
          <w:color w:val="000000"/>
          <w:kern w:val="0"/>
          <w:sz w:val="21"/>
          <w:szCs w:val="21"/>
          <w:lang w:val="en-US" w:eastAsia="zh-CN" w:bidi="ar-SA"/>
        </w:rPr>
        <w:t>有的有分枝，上端较粗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。</w:t>
      </w:r>
    </w:p>
    <w:p w14:paraId="4F72EDBE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表面</w:t>
      </w:r>
    </w:p>
    <w:p w14:paraId="7330114F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表面淡棕黄色或淡棕褐色，有不整齐的纵皱纹或纵沟</w:t>
      </w:r>
      <w:r>
        <w:rPr>
          <w:rFonts w:hint="eastAsia" w:cs="宋体"/>
          <w:bCs/>
          <w:color w:val="000000"/>
          <w:kern w:val="0"/>
          <w:sz w:val="21"/>
          <w:szCs w:val="21"/>
          <w:lang w:val="en-US" w:eastAsia="zh-CN" w:bidi="ar-SA"/>
        </w:rPr>
        <w:t>。</w:t>
      </w:r>
    </w:p>
    <w:p w14:paraId="29AE9BD9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4.2.3 断面</w:t>
      </w:r>
    </w:p>
    <w:p w14:paraId="26BDABFE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断面纤维性强，并显粉性，皮部黄白色，木部淡黄色，有放射状纹理和裂隙，老根中心偶呈枯朽状，黑褐色或呈空洞。</w:t>
      </w:r>
    </w:p>
    <w:p w14:paraId="4D3604B6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质地</w:t>
      </w:r>
    </w:p>
    <w:p w14:paraId="0169EFEA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质硬而</w:t>
      </w:r>
      <w:r>
        <w:rPr>
          <w:rFonts w:hint="eastAsia" w:cs="宋体"/>
          <w:bCs/>
          <w:color w:val="000000"/>
          <w:kern w:val="0"/>
          <w:sz w:val="21"/>
          <w:szCs w:val="21"/>
          <w:lang w:val="en-US" w:eastAsia="zh-CN" w:bidi="ar-SA"/>
        </w:rPr>
        <w:t>韧</w:t>
      </w: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，</w:t>
      </w:r>
      <w:r>
        <w:rPr>
          <w:rFonts w:hint="eastAsia" w:cs="宋体"/>
          <w:bCs/>
          <w:color w:val="000000"/>
          <w:kern w:val="0"/>
          <w:sz w:val="21"/>
          <w:szCs w:val="21"/>
          <w:lang w:val="en-US" w:eastAsia="zh-CN" w:bidi="ar-SA"/>
        </w:rPr>
        <w:t>不</w:t>
      </w: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易折断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。</w:t>
      </w:r>
    </w:p>
    <w:p w14:paraId="04EFE92A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4.2.5 气味</w:t>
      </w:r>
    </w:p>
    <w:p w14:paraId="6C402C7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气微，味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微甜，嚼之有豆腥味。</w:t>
      </w:r>
    </w:p>
    <w:p w14:paraId="77A2BAA8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9" w:name="_Toc20071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 鉴别</w:t>
      </w:r>
      <w:bookmarkEnd w:id="29"/>
    </w:p>
    <w:p w14:paraId="19ACEE4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4.3.1 显微鉴别</w:t>
      </w:r>
    </w:p>
    <w:p w14:paraId="047C288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品横切面：木栓细胞多列；栓内层为3～5列厚角细胞。韧皮部射线外侧常弯曲，有裂隙；纤维成束，壁厚，木化或微木化，与筛管群交互排列；近栓内层处有时可见石细胞。形成层成环。木质部导管单个散在或2～3个相聚；导管间有木纤维；射线中有时可见单个或2～4个成群的石细胞。薄壁细胞含淀粉粒。粉末黄白色。纤维成束或散离，直径8～30μm，壁厚，表面有纵裂纹，初生壁常与次生壁分离，两端常断裂成须状，或较平截。具缘纹孔导管无色或橙黄色，具缘纹孔排列紧密。石细胞少见，圆形、长圆形或形状不规则，壁较厚。</w:t>
      </w:r>
    </w:p>
    <w:p w14:paraId="6A735AFF"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Lines="50" w:beforeAutospacing="0" w:after="0" w:afterLines="50" w:afterAutospacing="0" w:line="240" w:lineRule="auto"/>
        <w:ind w:left="0" w:right="0" w:firstLine="0"/>
        <w:jc w:val="left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4.3.2 薄层鉴别</w:t>
      </w:r>
    </w:p>
    <w:p w14:paraId="3D31B302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照薄层色谱法（通则0502）试验，吸取〔含量测定〕项下的供试品溶液及对照品溶液各5～10μl，分别点于同一硅胶G薄层板上，以三氯甲烷-甲醇-水（13︰7︰2）的下层溶液为展开剂，展开，取出，晾干，喷以10%硫酸乙醇溶液，在105℃加热至斑点显色清晰，分别置日光和紫外光灯（365nm）下检视。供试品色谱中，在与对照品色谱相应的位置上，日光下显相同的棕褐色斑点；紫外光（365nm）下显相同的橙黄色荧光斑点。取本品粉末2g，加乙醇30ml，加热回流20分钟，滤过，滤液蒸干，残渣加0.3 % 氢氧化钠溶液15ml使溶解，滤过，滤液用稀盐酸调节pH值至5～6，用乙酸乙酯15ml振摇提取，分取乙酸乙酯液，用铺有适量无水硫酸钠的滤纸滤过，滤液蒸干。残渣加乙酸乙酯1ml使溶解，作为供试品溶液。另取黄芪对照药材2g，同法制成对照药材溶液。照薄层色谱法（通则0502）试验，吸取上述两种溶液各10μl，分别点于同一硅胶G薄层板上，以三氯甲烷-甲醇（10：1）为展开剂，展开，取出，晾干，置氨蒸气中熏后，置紫外光灯（365nm）下检视。供试品色谱中，在与对照药材色谱相应的位置上，显相同颜色的荧光主斑点。</w:t>
      </w:r>
    </w:p>
    <w:p w14:paraId="5EA1D99A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30" w:name="_Toc9269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  <w:bookmarkEnd w:id="30"/>
    </w:p>
    <w:p w14:paraId="40093AC2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水分</w:t>
      </w:r>
    </w:p>
    <w:p w14:paraId="2EF54C2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通则0832第二法测定，水分不得过10.0%。</w:t>
      </w:r>
    </w:p>
    <w:p w14:paraId="6BF0A729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总灰分</w:t>
      </w:r>
    </w:p>
    <w:p w14:paraId="38037A4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通则2302法测定，总灰分不得过5.0%。</w:t>
      </w:r>
    </w:p>
    <w:p w14:paraId="35D9B52C">
      <w:pPr>
        <w:pStyle w:val="4"/>
        <w:snapToGrid/>
        <w:spacing w:before="0" w:beforeLines="50" w:after="0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4.4.3 二氧化硫</w:t>
      </w:r>
    </w:p>
    <w:p w14:paraId="5977994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照《中华人民共和国药典》2020年版通则2331法测定，残留二氧化硫</w:t>
      </w:r>
      <w:r>
        <w:rPr>
          <w:rFonts w:hint="eastAsia" w:ascii="宋体" w:hAnsi="宋体" w:eastAsia="宋体" w:cs="宋体"/>
          <w:i w:val="0"/>
          <w:iCs w:val="0"/>
          <w:color w:val="000000"/>
          <w:sz w:val="21"/>
          <w:szCs w:val="21"/>
          <w:highlight w:val="none"/>
          <w:u w:val="none"/>
          <w:lang w:val="en-US" w:eastAsia="zh-CN"/>
        </w:rPr>
        <w:t>不得过150mg/kg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12DE4702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4.4.4 重金属</w:t>
      </w:r>
    </w:p>
    <w:p w14:paraId="0044E6A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照《中华人民共和国药典》2020年版通则2321法测定，铅不得过5mg/kg；镉不得过lmg/kg；砷不得过2mg/kg；汞不得过0.2mg/kg；铜不得过20mg/kg。</w:t>
      </w:r>
    </w:p>
    <w:p w14:paraId="3D7C4261">
      <w:pPr>
        <w:pStyle w:val="4"/>
        <w:snapToGrid/>
        <w:spacing w:before="0" w:beforeLines="50" w:after="0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4.4.5 农药残留</w:t>
      </w:r>
    </w:p>
    <w:p w14:paraId="69DF551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照《中华人民共和国药典》2020年版通则0212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中列出的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农药残留不得检出。</w:t>
      </w:r>
    </w:p>
    <w:p w14:paraId="1FC3490F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4.4.6 浸出物</w:t>
      </w:r>
    </w:p>
    <w:p w14:paraId="16F06E1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通则2201冷浸法测定，水溶性浸出物不得少于17%。</w:t>
      </w:r>
    </w:p>
    <w:p w14:paraId="025193A0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31" w:name="_Toc23899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含量</w:t>
      </w:r>
      <w:bookmarkEnd w:id="31"/>
    </w:p>
    <w:p w14:paraId="262D87F0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照《中华人民共和国药典》2020年版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通则0512法测定，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按干燥品计算，含黄芪甲苷（C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68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）不得少于0.080%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含毛蕊异黄酮葡萄糖苷（C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）不得少于0.020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%。</w:t>
      </w:r>
    </w:p>
    <w:p w14:paraId="5B31D146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32" w:name="_Toc18338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 质量控制</w:t>
      </w:r>
      <w:bookmarkEnd w:id="32"/>
    </w:p>
    <w:p w14:paraId="69FDAEDE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4.6.1 可追溯</w:t>
      </w:r>
    </w:p>
    <w:p w14:paraId="22F2B99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浑源黄芪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应实现中药材生产全过程可追溯，并通过第三方溯源评价。</w:t>
      </w:r>
    </w:p>
    <w:p w14:paraId="4274ACC5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50E90C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浑源黄芪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52576F6A">
      <w:pPr>
        <w:pStyle w:val="4"/>
        <w:snapToGrid/>
        <w:spacing w:before="0" w:beforeLines="50" w:after="0" w:afterLines="5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4.6.3 道地药材</w:t>
      </w:r>
    </w:p>
    <w:p w14:paraId="78F794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浑源黄芪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24558788">
      <w:pPr>
        <w:pStyle w:val="4"/>
        <w:snapToGrid/>
        <w:spacing w:before="0" w:beforeLines="50" w:after="0" w:afterLines="50"/>
        <w:jc w:val="both"/>
        <w:outlineLvl w:val="1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33" w:name="_Toc14166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4.7 </w:t>
      </w:r>
      <w:bookmarkEnd w:id="33"/>
      <w:r>
        <w:rPr>
          <w:rFonts w:hint="eastAsia" w:ascii="黑体" w:hAnsi="黑体" w:eastAsia="黑体"/>
          <w:bCs/>
          <w:color w:val="000000"/>
          <w:sz w:val="21"/>
          <w:szCs w:val="21"/>
        </w:rPr>
        <w:t>等级及集采要求</w:t>
      </w:r>
    </w:p>
    <w:p w14:paraId="421001C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浑源黄芪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统货、选货、精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1。</w:t>
      </w:r>
    </w:p>
    <w:tbl>
      <w:tblPr>
        <w:tblStyle w:val="9"/>
        <w:tblW w:w="97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2235"/>
        <w:gridCol w:w="2159"/>
        <w:gridCol w:w="1940"/>
        <w:gridCol w:w="1940"/>
      </w:tblGrid>
      <w:tr w14:paraId="66C540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  <w:jc w:val="center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90E0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"/>
              </w:rPr>
              <w:t>表1：道地药材集采交易标准 浑源黄芪</w:t>
            </w:r>
          </w:p>
        </w:tc>
      </w:tr>
      <w:tr w14:paraId="4BD9CC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366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C03B9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71989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4694B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562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C1F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8AD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61C45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22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AD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  <w:t>基原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1E75D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豆科植物蒙古黄芪</w:t>
            </w:r>
            <w:r>
              <w:rPr>
                <w:rFonts w:hint="eastAsia" w:ascii="宋体" w:hAnsi="宋体" w:eastAsia="宋体" w:cs="宋体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Astragalus membranaceus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（Fisch.）Bge.var.mongholicus（Bge.）Hsiao或膜荚黄芪</w:t>
            </w:r>
            <w:r>
              <w:rPr>
                <w:rFonts w:hint="eastAsia" w:ascii="宋体" w:hAnsi="宋体" w:eastAsia="宋体" w:cs="宋体"/>
                <w:i/>
                <w:iCs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Astragalus membranaceus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（Fisch.）Bge.</w:t>
            </w:r>
          </w:p>
        </w:tc>
      </w:tr>
      <w:tr w14:paraId="2799F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43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D2EE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CAC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  <w:t>干燥根</w:t>
            </w:r>
          </w:p>
        </w:tc>
      </w:tr>
      <w:tr w14:paraId="608E2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03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8CA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96074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春、秋二季</w:t>
            </w:r>
          </w:p>
        </w:tc>
      </w:tr>
      <w:tr w14:paraId="10AD7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1AE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142F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ABA50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除去须根和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lang w:val="en-US" w:eastAsia="zh-CN"/>
              </w:rPr>
              <w:t>根头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，晒干</w:t>
            </w:r>
          </w:p>
        </w:tc>
      </w:tr>
      <w:tr w14:paraId="7724C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5D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BE5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产地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42808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主产于以恒山、太行山陕煤为核心的山西北部、内蒙古中西部</w:t>
            </w:r>
          </w:p>
        </w:tc>
      </w:tr>
      <w:tr w14:paraId="79108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01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2F2F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6A269E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圆柱形，有的有分枝，上端较粗</w:t>
            </w:r>
          </w:p>
        </w:tc>
      </w:tr>
      <w:tr w14:paraId="0211C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5A5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D365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D73E3A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气微，味微甜，嚼之微有豆腥味</w:t>
            </w:r>
          </w:p>
        </w:tc>
      </w:tr>
      <w:tr w14:paraId="247FD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A90D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3C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头部斩口下3.5cm处直径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04A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1.0 cm~1.4 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DC7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1.4 cm~1.8 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6D8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≧1.8cm</w:t>
            </w:r>
          </w:p>
        </w:tc>
      </w:tr>
      <w:tr w14:paraId="21BCC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EA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8DF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断面特征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058F26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断面纤维性强，并显粉性，皮部黄白色，木部淡黄色，有放射状纹理和裂隙，老根中心偶呈枯朽状，黑褐色或呈空洞</w:t>
            </w:r>
          </w:p>
        </w:tc>
      </w:tr>
      <w:tr w14:paraId="23D49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819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13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A3FBF7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质硬而韧，不易折断</w:t>
            </w:r>
          </w:p>
        </w:tc>
      </w:tr>
      <w:tr w14:paraId="6D1AB3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D84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90F3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表面特征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88E837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shd w:val="clear" w:fill="FFFFFF"/>
                <w:lang w:val="en-US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表面淡棕黄色或淡棕褐色，有不整齐的纵皱纹或纵沟。</w:t>
            </w:r>
          </w:p>
        </w:tc>
      </w:tr>
      <w:tr w14:paraId="0DCEB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CE6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9A1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显微特征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A02B60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bCs w:val="0"/>
                <w:color w:val="auto"/>
                <w:sz w:val="18"/>
                <w:szCs w:val="18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z w:val="18"/>
                <w:szCs w:val="18"/>
                <w:shd w:val="clear" w:fill="FFFFFF"/>
                <w:lang w:val="en-US" w:eastAsia="zh-CN" w:bidi="ar"/>
              </w:rPr>
              <w:t>本品横切面：木栓细胞多列；栓内层为3～5列厚角细胞。韧皮部射线外侧常弯曲，有裂隙；纤维成束，壁厚，木化或微木化，与筛管群交互排列；近栓内层处有时可见石细胞。形成层成环。木质部导管单个散在或2～3个相聚；导管间有木纤维；射线中有时可见单个或2～4个成群的石细胞。薄壁细胞含淀粉粒。</w:t>
            </w:r>
          </w:p>
          <w:p w14:paraId="3C56CDAB"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bidi="ar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sz w:val="18"/>
                <w:szCs w:val="18"/>
                <w:shd w:val="clear" w:fill="FFFFFF"/>
                <w:lang w:val="en-US" w:eastAsia="zh-CN" w:bidi="ar"/>
              </w:rPr>
              <w:t>粉末黄白色。纤维成束或散离，直径8～30μm，壁厚，表面有纵裂纹，初生壁常与次生壁分离，两端常断裂成须状，或较平截。具缘纹孔导管无色或橙黄色，具缘纹孔排列紧密。石细胞少见，圆形、长圆形或形状不规则，壁较厚。</w:t>
            </w:r>
          </w:p>
        </w:tc>
      </w:tr>
      <w:tr w14:paraId="79C43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FE057F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/>
              <w:jc w:val="both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53D4502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薄层特征</w:t>
            </w:r>
          </w:p>
        </w:tc>
        <w:tc>
          <w:tcPr>
            <w:tcW w:w="6039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09896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 w:firstLineChars="0"/>
              <w:jc w:val="center"/>
              <w:rPr>
                <w:rFonts w:hint="eastAsia" w:ascii="宋体" w:hAnsi="宋体" w:eastAsia="宋体" w:cs="宋体"/>
                <w:bCs w:val="0"/>
                <w:color w:val="auto"/>
                <w:kern w:val="0"/>
                <w:sz w:val="18"/>
                <w:szCs w:val="18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照薄层色谱法（通则0502）试验，吸取〔含量测定〕项下的供试品溶液及对照品溶液各5～10μl，分别点于同一硅胶G薄层板上，以三氯甲烷-甲醇-水（13︰7︰2）的下层溶液为展开剂，展开，取出，晾干，喷以10%硫酸乙醇溶液，在105℃加热至斑点显色清晰，分别置日光和紫外光灯（365nm）下检视。供试品色谱中，在与对照品色谱相应的位置上，日光下显相同的棕褐色斑点；紫外光（365nm）下显相同的橙黄色荧光斑点。</w:t>
            </w:r>
          </w:p>
          <w:p w14:paraId="35F3F605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right="0" w:firstLine="0" w:firstLineChars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Cs w:val="0"/>
                <w:color w:val="auto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取本品粉末2g，加乙醇30ml，加热回流20分钟，滤过，滤液蒸干，残渣加0.3 % 氢氧化钠溶液15ml使溶解，滤过，滤液用稀盐酸调节pH值至5～6，用乙酸乙酯15ml振摇提取，分取乙酸乙酯液，用铺有适量无水硫酸钠的滤纸滤过，滤液蒸干。残渣加乙酸乙酯1ml使溶解，作为供试品溶液。另取黄芪对照药材2g，同法制成对照药材溶液。照薄层色谱法（通则0502）试验，吸取上述两种溶液各10 μl，分别点于同一硅胶G薄层板上，以三氯甲烷-甲醇（10：1）为展开剂，展开，取出，晾干，置氨蒸气中熏后，置紫外光灯（365nm）下检视。供试品色谱中，在与对照药材色谱相应的位置上，显相同颜色的荧光主斑点。</w:t>
            </w:r>
          </w:p>
        </w:tc>
      </w:tr>
      <w:tr w14:paraId="16FB66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2F874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A69E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杂质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AB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不得过3%</w:t>
            </w:r>
          </w:p>
        </w:tc>
      </w:tr>
      <w:tr w14:paraId="00B5B4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9551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74F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水分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FF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bidi="ar"/>
              </w:rPr>
              <w:t>不得过1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bidi="ar"/>
              </w:rPr>
              <w:t>.0%</w:t>
            </w:r>
          </w:p>
        </w:tc>
      </w:tr>
      <w:tr w14:paraId="4E84AF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39E5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669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灰分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8C6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980" w:firstLineChars="1100"/>
              <w:jc w:val="both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bidi="ar"/>
              </w:rPr>
              <w:t>不得过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u w:val="none"/>
                <w:shd w:val="clear" w:fill="FFFFFF"/>
                <w:lang w:bidi="ar"/>
              </w:rPr>
              <w:t>.0%</w:t>
            </w:r>
          </w:p>
        </w:tc>
      </w:tr>
      <w:tr w14:paraId="66DD2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14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D18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F71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《中华人民共和国药典》2020年版规定的47项农残不得检出</w:t>
            </w:r>
          </w:p>
        </w:tc>
      </w:tr>
      <w:tr w14:paraId="34F789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7B0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23FC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</w:t>
            </w:r>
          </w:p>
        </w:tc>
        <w:tc>
          <w:tcPr>
            <w:tcW w:w="6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973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</w:p>
        </w:tc>
      </w:tr>
      <w:tr w14:paraId="27124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05B5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BCA1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*重金属残留</w:t>
            </w:r>
          </w:p>
        </w:tc>
        <w:tc>
          <w:tcPr>
            <w:tcW w:w="6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69E0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</w:p>
        </w:tc>
      </w:tr>
      <w:tr w14:paraId="55615B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7840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浸出物</w:t>
            </w: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DDD7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6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04B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不得少于17%</w:t>
            </w:r>
          </w:p>
        </w:tc>
      </w:tr>
      <w:tr w14:paraId="02D7AE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7C32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</w:p>
        </w:tc>
        <w:tc>
          <w:tcPr>
            <w:tcW w:w="2235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814B79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黄芪甲苷（C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vertAlign w:val="subscript"/>
              </w:rPr>
              <w:t>41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vertAlign w:val="subscript"/>
              </w:rPr>
              <w:t>68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vertAlign w:val="subscript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）</w:t>
            </w:r>
          </w:p>
        </w:tc>
        <w:tc>
          <w:tcPr>
            <w:tcW w:w="6039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B7189E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不得少于0.080%</w:t>
            </w:r>
          </w:p>
        </w:tc>
      </w:tr>
      <w:tr w14:paraId="099BE5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1AF9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E219A3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毛蕊异黄酮葡萄糖苷（C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vertAlign w:val="subscript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vertAlign w:val="subscript"/>
              </w:rPr>
              <w:t>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  <w:vertAlign w:val="subscript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）</w:t>
            </w:r>
          </w:p>
        </w:tc>
        <w:tc>
          <w:tcPr>
            <w:tcW w:w="60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7362990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18"/>
                <w:szCs w:val="18"/>
                <w:shd w:val="clear" w:fill="FFFFFF"/>
              </w:rPr>
              <w:t>不得少于0.020%</w:t>
            </w:r>
          </w:p>
        </w:tc>
      </w:tr>
      <w:tr w14:paraId="6E987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25C0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54BA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</w:t>
            </w:r>
          </w:p>
        </w:tc>
        <w:tc>
          <w:tcPr>
            <w:tcW w:w="603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52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70D32C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F51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784A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1E9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AFF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2719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GAP备案或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延伸审查通过</w:t>
            </w:r>
          </w:p>
        </w:tc>
      </w:tr>
      <w:tr w14:paraId="55F4F1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194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2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8B8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</w:t>
            </w:r>
          </w:p>
        </w:tc>
        <w:tc>
          <w:tcPr>
            <w:tcW w:w="2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EDBD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F679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B5C9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道地药材认证</w:t>
            </w:r>
          </w:p>
        </w:tc>
      </w:tr>
    </w:tbl>
    <w:p w14:paraId="2D20185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br w:type="page"/>
      </w:r>
    </w:p>
    <w:p w14:paraId="509FC4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34" w:name="_Toc19860"/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01624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5B65A2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浑源黄芪集采交易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bookmarkEnd w:id="34"/>
    <w:p w14:paraId="49FB6D5D">
      <w:pPr>
        <w:pStyle w:val="4"/>
        <w:snapToGrid/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5494020" cy="6800850"/>
            <wp:effectExtent l="0" t="0" r="7620" b="11430"/>
            <wp:docPr id="19" name="图片 19" descr="66-黄芪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66-黄芪（统货）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E6DD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ind w:left="0" w:firstLine="420" w:firstLineChars="200"/>
        <w:jc w:val="center"/>
        <w:rPr>
          <w:rFonts w:hint="eastAsia" w:ascii="黑体" w:hAnsi="黑体" w:eastAsia="黑体" w:cs="黑体"/>
          <w:szCs w:val="21"/>
          <w:highlight w:val="none"/>
          <w:lang w:val="zh-CN"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图A1黄芪（统货）</w:t>
      </w: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规格</w:t>
      </w:r>
      <w:r>
        <w:rPr>
          <w:rFonts w:hint="eastAsia" w:ascii="黑体" w:hAnsi="黑体" w:eastAsia="黑体" w:cs="黑体"/>
          <w:szCs w:val="21"/>
          <w:highlight w:val="none"/>
          <w:lang w:val="zh-CN" w:eastAsia="zh-CN"/>
        </w:rPr>
        <w:t>等级</w:t>
      </w:r>
      <w:r>
        <w:rPr>
          <w:rFonts w:hint="eastAsia" w:ascii="黑体" w:hAnsi="黑体" w:eastAsia="黑体" w:cs="黑体"/>
          <w:szCs w:val="21"/>
          <w:highlight w:val="none"/>
          <w:lang w:val="en-US" w:eastAsia="zh-CN"/>
        </w:rPr>
        <w:t>性状</w:t>
      </w:r>
      <w:r>
        <w:rPr>
          <w:rFonts w:hint="eastAsia" w:ascii="黑体" w:hAnsi="黑体" w:eastAsia="黑体" w:cs="黑体"/>
          <w:szCs w:val="21"/>
          <w:highlight w:val="none"/>
          <w:lang w:val="zh-CN" w:eastAsia="zh-CN"/>
        </w:rPr>
        <w:t>图</w:t>
      </w:r>
    </w:p>
    <w:p w14:paraId="3D97E4ED">
      <w:pPr>
        <w:pStyle w:val="4"/>
        <w:snapToGrid/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5494020" cy="7236460"/>
            <wp:effectExtent l="0" t="0" r="7620" b="2540"/>
            <wp:docPr id="20" name="图片 20" descr="66-黄芪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66-黄芪（选货）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94020" cy="723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D3A61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ind w:left="0" w:firstLine="420" w:firstLineChars="200"/>
        <w:jc w:val="center"/>
        <w:rPr>
          <w:rFonts w:hint="eastAsia" w:ascii="黑体" w:hAnsi="黑体" w:eastAsia="黑体" w:cs="黑体"/>
          <w:sz w:val="21"/>
          <w:szCs w:val="21"/>
          <w:highlight w:val="none"/>
          <w:lang w:val="zh-CN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</w:t>
      </w: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图A2黄芪（选货）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规格</w:t>
      </w:r>
      <w:r>
        <w:rPr>
          <w:rFonts w:hint="eastAsia" w:ascii="黑体" w:hAnsi="黑体" w:eastAsia="黑体" w:cs="黑体"/>
          <w:sz w:val="21"/>
          <w:szCs w:val="21"/>
          <w:highlight w:val="none"/>
          <w:lang w:val="zh-CN" w:eastAsia="zh-CN"/>
        </w:rPr>
        <w:t>等级</w:t>
      </w:r>
      <w:r>
        <w:rPr>
          <w:rFonts w:hint="eastAsia" w:ascii="黑体" w:hAnsi="黑体" w:eastAsia="黑体" w:cs="黑体"/>
          <w:sz w:val="21"/>
          <w:szCs w:val="21"/>
          <w:highlight w:val="none"/>
          <w:lang w:val="en-US" w:eastAsia="zh-CN"/>
        </w:rPr>
        <w:t>性状</w:t>
      </w:r>
      <w:r>
        <w:rPr>
          <w:rFonts w:hint="eastAsia" w:ascii="黑体" w:hAnsi="黑体" w:eastAsia="黑体" w:cs="黑体"/>
          <w:sz w:val="21"/>
          <w:szCs w:val="21"/>
          <w:highlight w:val="none"/>
          <w:lang w:val="zh-CN" w:eastAsia="zh-CN"/>
        </w:rPr>
        <w:t>图</w:t>
      </w:r>
    </w:p>
    <w:p w14:paraId="0FAE519F">
      <w:pPr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br w:type="page"/>
      </w:r>
    </w:p>
    <w:bookmarkEnd w:id="21"/>
    <w:p w14:paraId="1FDEA042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黑体" w:hAnsi="黑体" w:eastAsia="黑体" w:cs="宋体"/>
          <w:szCs w:val="21"/>
        </w:rPr>
      </w:pPr>
      <w:bookmarkStart w:id="35" w:name="_Toc25047693"/>
      <w:bookmarkStart w:id="36" w:name="_Toc16858"/>
      <w:bookmarkStart w:id="37" w:name="_Toc30293"/>
      <w:bookmarkStart w:id="38" w:name="_Toc9701"/>
      <w:bookmarkStart w:id="39" w:name="_Toc6605"/>
      <w:bookmarkStart w:id="40" w:name="_Toc7443"/>
      <w:bookmarkStart w:id="41" w:name="_Toc26118"/>
      <w:bookmarkStart w:id="42" w:name="_Toc27406"/>
      <w:bookmarkStart w:id="43" w:name="_Toc15722"/>
      <w:r>
        <w:rPr>
          <w:rFonts w:hint="eastAsia" w:ascii="黑体" w:hAnsi="黑体" w:eastAsia="黑体" w:cs="宋体"/>
          <w:szCs w:val="21"/>
        </w:rPr>
        <w:t>参考文献</w:t>
      </w:r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5974CA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1A5D57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7E664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2E6260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0EFACD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3312B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15518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77F44E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0CE1A27A">
      <w:pPr>
        <w:tabs>
          <w:tab w:val="left" w:pos="6408"/>
        </w:tabs>
        <w:jc w:val="left"/>
      </w:pPr>
      <w:r>
        <w:rPr>
          <w:rFonts w:hint="eastAsia"/>
        </w:rPr>
        <w:tab/>
      </w:r>
    </w:p>
    <w:p w14:paraId="05AFC6FB"/>
    <w:sectPr>
      <w:headerReference r:id="rId13" w:type="default"/>
      <w:footerReference r:id="rId15" w:type="default"/>
      <w:headerReference r:id="rId14" w:type="even"/>
      <w:footerReference r:id="rId16" w:type="even"/>
      <w:pgSz w:w="11906" w:h="16838"/>
      <w:pgMar w:top="1417" w:right="1134" w:bottom="1134" w:left="1417" w:header="1134" w:footer="850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6789C">
    <w:pPr>
      <w:pStyle w:val="4"/>
      <w:ind w:firstLine="360"/>
      <w:jc w:val="right"/>
    </w:pPr>
  </w:p>
  <w:p w14:paraId="48957C00">
    <w:pPr>
      <w:pStyle w:val="4"/>
      <w:ind w:left="-283" w:leftChars="-135"/>
      <w:jc w:val="right"/>
    </w:pPr>
  </w:p>
  <w:p w14:paraId="2CB0C9A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EC9F7">
    <w:pPr>
      <w:pStyle w:val="4"/>
      <w:rPr>
        <w:rFonts w:ascii="宋体" w:hAnsi="宋体"/>
      </w:rPr>
    </w:pPr>
  </w:p>
  <w:p w14:paraId="149B052F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C598E1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785F14">
    <w:pPr>
      <w:pStyle w:val="4"/>
      <w:ind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649495">
                          <w:pPr>
                            <w:pStyle w:val="4"/>
                            <w:ind w:firstLine="36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5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540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649495">
                    <w:pPr>
                      <w:pStyle w:val="4"/>
                      <w:ind w:firstLine="360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5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9A3A61">
    <w:pPr>
      <w:pStyle w:val="4"/>
      <w:rPr>
        <w:rFonts w:ascii="宋体" w:hAnsi="宋体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49D7F7">
                          <w:pPr>
                            <w:pStyle w:val="4"/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lang w:val="zh-CN"/>
                            </w:rPr>
                            <w:t>6</w:t>
                          </w:r>
                          <w:r>
                            <w:rPr>
                              <w:rFonts w:ascii="宋体" w:hAnsi="宋体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49D7F7">
                    <w:pPr>
                      <w:pStyle w:val="4"/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  <w:lang w:val="zh-CN"/>
                      </w:rPr>
                      <w:t>6</w:t>
                    </w:r>
                    <w:r>
                      <w:rPr>
                        <w:rFonts w:ascii="宋体" w:hAnsi="宋体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918B1E7"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24D61E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5837555</wp:posOffset>
              </wp:positionH>
              <wp:positionV relativeFrom="paragraph">
                <wp:posOffset>-38100</wp:posOffset>
              </wp:positionV>
              <wp:extent cx="262255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2255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160FE4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59.65pt;margin-top:-3pt;height:18.5pt;width:20.65pt;mso-position-horizontal-relative:margin;z-index:251665408;mso-width-relative:page;mso-height-relative:page;" filled="f" stroked="f" coordsize="21600,21600" o:gfxdata="UEsDBAoAAAAAAIdO4kAAAAAAAAAAAAAAAAAEAAAAZHJzL1BLAwQUAAAACACHTuJAhP6bLdcAAAAJ&#10;AQAADwAAAGRycy9kb3ducmV2LnhtbE2PTUvEMBCG74L/IYzgbTepC8XWThcRPQlitx48pk22DdtM&#10;apP98N87nvQ4zMP7Pm+1vfhJnOwSXSCEbK1AWOqDcTQgfLQvq3sQMWkyegpkEb5thG19fVXp0oQz&#10;Nfa0S4PgEIqlRhhTmkspYz9ar+M6zJb4tw+L14nPZZBm0WcO95O8UyqXXjvihlHP9mm0/WF39AiP&#10;n9Q8u6+37r3ZN65tC0Wv+QHx9iZTDyCSvaQ/GH71WR1qdurCkUwUE0KRFRtGEVY5b2KgyFUOokPY&#10;ZApkXcn/C+ofUEsDBBQAAAAIAIdO4kBnz1+ougEAAHEDAAAOAAAAZHJzL2Uyb0RvYy54bWytU8GO&#10;0zAQvSPxD5bv1N1AVxA1XQlVi5AQIO3yAa7jNJZsj+Vxm/QH4A84ceHOd/U7GLtNF5bLHrg4k5nJ&#10;m/feOMub0Vm21xEN+IZfzeacaa+gNX7b8C/3ty9ec4ZJ+lZa8LrhB438ZvX82XIIta6gB9vqyAjE&#10;Yz2EhvcphVoIVL12EmcQtKdiB9HJRK9xK9ooB0J3VlTz+bUYILYhgtKIlF2fivyMGJ8CCF1nlF6D&#10;2jnt0wk1aisTScLeBOSrwrbrtEqfug51YrbhpDSVk4ZQvMmnWC1lvY0y9EadKcinUHikyUnjaegF&#10;ai2TZLto/oFyRkVA6NJMgRMnIcURUnE1f+TNXS+DLlrIagwX0/H/waqP+8+RmbbhFWdeOlr48fu3&#10;449fx59fWZXtGQLW1HUXqC+Nb2GkSzPlkZJZ9dhFl5+kh1GdzD1czNVjYoqS1XVVLRacKSpVL1+9&#10;WRTzxcPHIWJ6p8GxHDQ80u6KpXL/ARMRodapJc/ycGusLfuz/q8ENeaMyMxPDHOUxs14lrOB9kBq&#10;7HtPTuZbMQVxCjZTsAvRbHuiUzQXSNpEIXO+NXnVf76XwQ9/yuo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hP6bLdcAAAAJAQAADwAAAAAAAAABACAAAAAiAAAAZHJzL2Rvd25yZXYueG1sUEsBAhQA&#10;FAAAAAgAh07iQGfPX6i6AQAAcQMAAA4AAAAAAAAAAQAgAAAAJgEAAGRycy9lMm9Eb2MueG1sUEsF&#10;BgAAAAAGAAYAWQEAAFI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7160FE4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711397">
    <w:pPr>
      <w:pStyle w:val="4"/>
      <w:rPr>
        <w:sz w:val="20"/>
        <w:szCs w:val="2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9349989"/>
                          </w:sdtPr>
                          <w:sdtContent>
                            <w:p w14:paraId="4DD2FB50">
                              <w:pPr>
                                <w:pStyle w:val="4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3305AA28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9349989"/>
                    </w:sdtPr>
                    <w:sdtContent>
                      <w:p w14:paraId="4DD2FB50">
                        <w:pPr>
                          <w:pStyle w:val="4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3305AA28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B00490">
    <w:pPr>
      <w:pStyle w:val="18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BE46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A9BE46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2A1FE3">
    <w:pPr>
      <w:pStyle w:val="18"/>
      <w:jc w:val="left"/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0798C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QB/TfQBAAADBAAADgAAAGRycy9lMm9Eb2MueG1srVNNb9swDL0P2H8Q&#10;dF+cBOg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iQB/Tf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90798C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2512B1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98645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98645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17C96">
    <w:pPr>
      <w:pStyle w:val="5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0001.17-2024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868D5">
    <w:pPr>
      <w:pStyle w:val="18"/>
      <w:jc w:val="lef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8C0415">
    <w:pPr>
      <w:pStyle w:val="5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0001.67-2024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41F034">
    <w:pPr>
      <w:pStyle w:val="5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0001.17-2024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7E4484"/>
    <w:rsid w:val="03EF172E"/>
    <w:rsid w:val="06474F59"/>
    <w:rsid w:val="06A25465"/>
    <w:rsid w:val="06EE5F1B"/>
    <w:rsid w:val="07661B4C"/>
    <w:rsid w:val="07927288"/>
    <w:rsid w:val="07D478A0"/>
    <w:rsid w:val="0A53166F"/>
    <w:rsid w:val="0D1B1ACD"/>
    <w:rsid w:val="0E604325"/>
    <w:rsid w:val="14DE10EC"/>
    <w:rsid w:val="1508056D"/>
    <w:rsid w:val="15B2766E"/>
    <w:rsid w:val="186662F2"/>
    <w:rsid w:val="195F0BEC"/>
    <w:rsid w:val="1B5A68E3"/>
    <w:rsid w:val="1B78507E"/>
    <w:rsid w:val="1C8675B7"/>
    <w:rsid w:val="1E28404A"/>
    <w:rsid w:val="1E861C86"/>
    <w:rsid w:val="229F3442"/>
    <w:rsid w:val="22C32593"/>
    <w:rsid w:val="23492C57"/>
    <w:rsid w:val="2350133F"/>
    <w:rsid w:val="28550131"/>
    <w:rsid w:val="298A57B9"/>
    <w:rsid w:val="2A753B73"/>
    <w:rsid w:val="2B4D360C"/>
    <w:rsid w:val="2D1D4C50"/>
    <w:rsid w:val="2F947791"/>
    <w:rsid w:val="38F109B8"/>
    <w:rsid w:val="3901335A"/>
    <w:rsid w:val="39455658"/>
    <w:rsid w:val="395A7356"/>
    <w:rsid w:val="398E66CE"/>
    <w:rsid w:val="39DF495A"/>
    <w:rsid w:val="3BAD3E82"/>
    <w:rsid w:val="42837C32"/>
    <w:rsid w:val="46566D64"/>
    <w:rsid w:val="498A7DDD"/>
    <w:rsid w:val="4CBF5046"/>
    <w:rsid w:val="4D3532FE"/>
    <w:rsid w:val="4DA229B3"/>
    <w:rsid w:val="4E1C64F6"/>
    <w:rsid w:val="4E4B6454"/>
    <w:rsid w:val="4F145070"/>
    <w:rsid w:val="5073598C"/>
    <w:rsid w:val="515A4508"/>
    <w:rsid w:val="522A30F1"/>
    <w:rsid w:val="53C179F2"/>
    <w:rsid w:val="556B21D1"/>
    <w:rsid w:val="56121E41"/>
    <w:rsid w:val="59550C26"/>
    <w:rsid w:val="595A2602"/>
    <w:rsid w:val="5BEF0861"/>
    <w:rsid w:val="5D2D6150"/>
    <w:rsid w:val="5D507F4E"/>
    <w:rsid w:val="5F7268F8"/>
    <w:rsid w:val="5F8A1E93"/>
    <w:rsid w:val="606D3ED6"/>
    <w:rsid w:val="61905628"/>
    <w:rsid w:val="636E1818"/>
    <w:rsid w:val="6655667C"/>
    <w:rsid w:val="676D3F83"/>
    <w:rsid w:val="68600824"/>
    <w:rsid w:val="6C030BFA"/>
    <w:rsid w:val="71596E10"/>
    <w:rsid w:val="71D36D7A"/>
    <w:rsid w:val="746F2FAE"/>
    <w:rsid w:val="74B54B28"/>
    <w:rsid w:val="75C023C7"/>
    <w:rsid w:val="75C90F16"/>
    <w:rsid w:val="76031347"/>
    <w:rsid w:val="7D052701"/>
    <w:rsid w:val="7F17164D"/>
    <w:rsid w:val="7FB32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paragraph" w:styleId="8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1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2">
    <w:name w:val="实施日期"/>
    <w:basedOn w:val="13"/>
    <w:autoRedefine/>
    <w:qFormat/>
    <w:uiPriority w:val="0"/>
    <w:pPr>
      <w:framePr w:wrap="around" w:vAnchor="page" w:hAnchor="text"/>
      <w:jc w:val="right"/>
    </w:pPr>
  </w:style>
  <w:style w:type="paragraph" w:customStyle="1" w:styleId="13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6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7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8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9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20">
    <w:name w:val="WPSOffice手动目录 1"/>
    <w:autoRedefine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21">
    <w:name w:val="WPSOffice手动目录 2"/>
    <w:autoRedefine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2.jpeg"/><Relationship Id="rId18" Type="http://schemas.openxmlformats.org/officeDocument/2006/relationships/image" Target="media/image1.jpeg"/><Relationship Id="rId17" Type="http://schemas.openxmlformats.org/officeDocument/2006/relationships/theme" Target="theme/theme1.xml"/><Relationship Id="rId16" Type="http://schemas.openxmlformats.org/officeDocument/2006/relationships/footer" Target="footer7.xml"/><Relationship Id="rId15" Type="http://schemas.openxmlformats.org/officeDocument/2006/relationships/footer" Target="footer6.xml"/><Relationship Id="rId14" Type="http://schemas.openxmlformats.org/officeDocument/2006/relationships/header" Target="header7.xml"/><Relationship Id="rId13" Type="http://schemas.openxmlformats.org/officeDocument/2006/relationships/header" Target="head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3341</Words>
  <Characters>4164</Characters>
  <Lines>0</Lines>
  <Paragraphs>0</Paragraphs>
  <TotalTime>0</TotalTime>
  <ScaleCrop>false</ScaleCrop>
  <LinksUpToDate>false</LinksUpToDate>
  <CharactersWithSpaces>4253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F1B2B3012A444AC1BA7D4C2A7FD705A8_13</vt:lpwstr>
  </property>
</Properties>
</file>