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7EAA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06DED1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5D80336E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71A7814">
                            <w:pPr>
                              <w:pStyle w:val="19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04996390">
                            <w:pPr>
                              <w:pStyle w:val="1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C06DED1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5D80336E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71A7814">
                      <w:pPr>
                        <w:pStyle w:val="19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04996390">
                      <w:pPr>
                        <w:pStyle w:val="19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8C2013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27953CC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CDF2B7E">
                            <w:pPr>
                              <w:pStyle w:val="19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CDF2B7E">
                      <w:pPr>
                        <w:pStyle w:val="19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B8F7BD">
                            <w:pPr>
                              <w:pStyle w:val="20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7B8F7BD">
                      <w:pPr>
                        <w:pStyle w:val="20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B2958C">
                            <w:pPr>
                              <w:pStyle w:val="21"/>
                              <w:spacing w:before="156" w:after="156"/>
                              <w:rPr>
                                <w:rFonts w:ascii="黑体" w:hAnsi="黑体" w:eastAsia="黑体"/>
                                <w:highlight w:val="none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  <w:highlight w:val="none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0001.10-2024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AB2958C">
                      <w:pPr>
                        <w:pStyle w:val="21"/>
                        <w:spacing w:before="156" w:after="156"/>
                        <w:rPr>
                          <w:rFonts w:ascii="黑体" w:hAnsi="黑体" w:eastAsia="黑体"/>
                          <w:highlight w:val="none"/>
                        </w:rPr>
                      </w:pPr>
                      <w:r>
                        <w:rPr>
                          <w:rFonts w:ascii="黑体" w:hAnsi="黑体" w:eastAsia="黑体"/>
                          <w:highlight w:val="none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  <w:highlight w:val="none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0001.10-2024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F67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易标准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岷当归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9260AE">
                            <w:pPr>
                              <w:pStyle w:val="16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59260AE">
                      <w:pPr>
                        <w:pStyle w:val="16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7D9BC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484E451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ANGELICAE SINENSIS RADIX 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3E5D925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38" w:name="_GoBack"/>
      <w:bookmarkEnd w:id="38"/>
    </w:p>
    <w:p w14:paraId="017BFBB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52A1C5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175ADF4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92CD81F">
                                  <w:pPr>
                                    <w:pStyle w:val="22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48484FEC">
                                  <w:pPr>
                                    <w:pStyle w:val="22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1933772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175ADF4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92CD81F">
                            <w:pPr>
                              <w:pStyle w:val="22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48484FEC">
                            <w:pPr>
                              <w:pStyle w:val="22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1933772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A60E1A7">
                            <w:pPr>
                              <w:pStyle w:val="16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A60E1A7">
                      <w:pPr>
                        <w:pStyle w:val="16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A30B3C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5123"/>
      <w:bookmarkStart w:id="1" w:name="_Toc7349"/>
      <w:bookmarkStart w:id="2" w:name="_Toc30137"/>
      <w:bookmarkStart w:id="3" w:name="_Toc32599"/>
      <w:bookmarkStart w:id="4" w:name="_Toc29175"/>
      <w:bookmarkStart w:id="5" w:name="_Toc31551"/>
      <w:bookmarkStart w:id="6" w:name="_Toc23109710"/>
      <w:bookmarkStart w:id="7" w:name="_Toc18100"/>
      <w:bookmarkStart w:id="8" w:name="_Toc11998"/>
      <w:bookmarkStart w:id="9" w:name="_Toc21586"/>
      <w:bookmarkStart w:id="10" w:name="_Toc19640"/>
      <w:bookmarkStart w:id="11" w:name="_Toc22401"/>
      <w:bookmarkStart w:id="12" w:name="_Toc18223"/>
      <w:bookmarkStart w:id="13" w:name="_Toc26679"/>
      <w:bookmarkStart w:id="14" w:name="_Toc26541137"/>
      <w:bookmarkStart w:id="15" w:name="_Toc13472"/>
      <w:bookmarkStart w:id="16" w:name="_Toc5094"/>
      <w:bookmarkStart w:id="17" w:name="_Toc840"/>
      <w:bookmarkStart w:id="18" w:name="_Toc16010"/>
      <w:bookmarkStart w:id="19" w:name="_Toc13900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D0F880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4E0158F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48F91E5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本标准起草单位：甘肃中医药大学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西昌学院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文山学院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、成都中医药大学、凉山新鑫中药饮片有限公司、中健安检测认证中心有限公司。</w:t>
      </w:r>
    </w:p>
    <w:p w14:paraId="4C3E279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本标准主要起草人：马毅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巩发永、李静、陈治光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辛文锋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、高继海、辜涛、王琦。</w:t>
      </w:r>
    </w:p>
    <w:p w14:paraId="6BB414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DD436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岷当归</w:t>
      </w:r>
    </w:p>
    <w:p w14:paraId="74971A9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34E735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岷当归的术语和定义、集采要求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DAD834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岷当归的集采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6173632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50ED033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8D303B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0001.1-2024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药材集采交易标准编制通则》</w:t>
      </w:r>
    </w:p>
    <w:p w14:paraId="2C2C207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2016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66CA7FD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1021.5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2018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《中药材商品规格等级 当归》</w:t>
      </w:r>
    </w:p>
    <w:p w14:paraId="760A443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T/CACM 1020.5-2019 《道地药材标准 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当归》</w:t>
      </w:r>
    </w:p>
    <w:p w14:paraId="7F66ED1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术语和定义</w:t>
      </w:r>
    </w:p>
    <w:p w14:paraId="6145665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 w14:paraId="6EA3C21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全归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quangui</w:t>
      </w:r>
    </w:p>
    <w:p w14:paraId="796DB51F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除杂修整后的当归完整干燥根。</w:t>
      </w:r>
    </w:p>
    <w:p w14:paraId="6AE83A0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1C81410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归头 guitou</w:t>
      </w:r>
    </w:p>
    <w:p w14:paraId="335009C8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去除茎叶残基和归尾后的当归干燥主根部分。</w:t>
      </w:r>
    </w:p>
    <w:p w14:paraId="5B80790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 w14:paraId="4193BB7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岷归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mingui</w:t>
      </w:r>
    </w:p>
    <w:p w14:paraId="0EB2C593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产于甘肃省岷县及其周边地区的当归药材。</w:t>
      </w:r>
    </w:p>
    <w:p w14:paraId="28930A4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 集采要求</w:t>
      </w:r>
    </w:p>
    <w:p w14:paraId="16FAFCC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4.1来源</w:t>
      </w:r>
    </w:p>
    <w:p w14:paraId="7A23405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4.1.1 基原</w:t>
      </w:r>
    </w:p>
    <w:p w14:paraId="517B963D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伞形科植物当归</w:t>
      </w:r>
      <w:r>
        <w:rPr>
          <w:rFonts w:hint="eastAsia" w:ascii="宋体" w:hAnsi="宋体" w:eastAsia="宋体" w:cs="宋体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Angelica sinensis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（Oliv.）Diels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5E40CD1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4.1.2 药用部位</w:t>
      </w:r>
    </w:p>
    <w:p w14:paraId="63CE3A7D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干燥根。</w:t>
      </w:r>
    </w:p>
    <w:p w14:paraId="3056F4B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4.1.3 产地</w:t>
      </w:r>
    </w:p>
    <w:p w14:paraId="7963384E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主产于甘肃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云南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等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22271C3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4.1.4 采收期</w:t>
      </w:r>
    </w:p>
    <w:p w14:paraId="403C0308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秋末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B7884C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4.1.5 产地加工</w:t>
      </w:r>
    </w:p>
    <w:p w14:paraId="22D84E48">
      <w:pPr>
        <w:pStyle w:val="13"/>
        <w:keepNext w:val="0"/>
        <w:keepLines w:val="0"/>
        <w:pageBreakBefore w:val="0"/>
        <w:tabs>
          <w:tab w:val="left" w:pos="8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采收后，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除去须根和泥沙，待水分稍蒸发后，捆成小把，上棚，用烟火慢慢熏干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763D124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 性状</w:t>
      </w:r>
    </w:p>
    <w:p w14:paraId="424B313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4.2.1 形状</w:t>
      </w:r>
    </w:p>
    <w:p w14:paraId="79D40679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略呈圆柱形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002FFAF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4.2.2 大小</w:t>
      </w:r>
    </w:p>
    <w:p w14:paraId="0B08152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全归选货和精品药材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长15～25cm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每千克支数每千克支数40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70，单支重15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25g，统货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长15～25cm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每千克支数10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120，单支重5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70g。</w:t>
      </w:r>
    </w:p>
    <w:p w14:paraId="6AC1BAD4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归头选货和精品药材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长1.5～4cm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每千克支数每千克支数40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80，单支重15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25g，统货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长15～25cm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每千克支数10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90，单支重10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60g。</w:t>
      </w:r>
    </w:p>
    <w:p w14:paraId="567F43E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4.2.3 表面</w:t>
      </w:r>
    </w:p>
    <w:p w14:paraId="45F039E3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浅棕色至棕褐色，具纵皱纹和横长皮孔样突起。</w:t>
      </w:r>
    </w:p>
    <w:p w14:paraId="2A49AAF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4.2.4 断面</w:t>
      </w:r>
    </w:p>
    <w:p w14:paraId="15AE4BE5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黄白色或淡黄棕色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9BC8C7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4.2.5 质地</w:t>
      </w:r>
    </w:p>
    <w:p w14:paraId="19DCBE1A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质柔韧</w:t>
      </w:r>
      <w:r>
        <w:rPr>
          <w:rFonts w:hint="eastAsia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44BB937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4.2.6 气味</w:t>
      </w:r>
    </w:p>
    <w:p w14:paraId="2B34DD15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有浓郁的香气，味甘、辛、微苦。</w:t>
      </w:r>
    </w:p>
    <w:p w14:paraId="013FD8B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 鉴别</w:t>
      </w:r>
    </w:p>
    <w:p w14:paraId="55EA031F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4.3.1显微鉴别</w:t>
      </w:r>
    </w:p>
    <w:p w14:paraId="1CD2348E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横切面：木栓层为数列细胞。栓内层窄，有少数油室。韧皮部宽广，多裂隙，油室和油管类圆形，直径25～160μm，外侧较大，向内渐小，周围分泌细胞6～9个。形成层成环。木质部射线宽3～5列细胞；导管单个散在或2～3个相聚，呈放射状排列；薄壁细胞含淀粉粒。粉末淡黄棕色。韧皮薄壁细胞纺锤形，壁略厚，表面有极微细的斜向交错纹理，有时可见菲薄的横隔。梯纹导管和网纹导管多见，直径约至80μm。有时可见油室碎片。</w:t>
      </w:r>
    </w:p>
    <w:p w14:paraId="07894AD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4.3.2薄层鉴别</w:t>
      </w:r>
    </w:p>
    <w:p w14:paraId="3D178D5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4.3.2.1 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取本品粉末0.5g，加乙醚20ml，超声处理10分钟，滤过，滤液蒸干，残渣加乙醇1ml使溶解，作为供试品溶液。另取当归对照药材0.5g，同法制成对照药材溶液。照薄层色谱法（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《中华人民共和国药典》2020年版通则0502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试验，吸取上述两种溶液各10μl，分别点于同一硅胶G薄层板上，以正己烷-乙酸乙酯（4∶1）为展开剂，展开，取出，晾干，置紫外光灯（365nm）下检视。供试品色谱中，在与对照药材色谱相应的位置上，显相同颜色的荧光斑点。</w:t>
      </w:r>
    </w:p>
    <w:p w14:paraId="2895019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40" w:lineRule="auto"/>
        <w:jc w:val="both"/>
        <w:textAlignment w:val="auto"/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4.3.2.2 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取本品粉末3g，加1%碳酸氢钠溶液50ml，超声处理10分钟，离心，取上清液用稀盐酸调节pH值至2～3，用乙醚振摇提取2次，每次20ml，合并乙醚液，挥干，残渣加甲醇1ml使溶解，作为供试品溶液。另取阿魏酸对照品、藁本内酯对照品，加甲醇制成每1ml各含1mg的溶液，作为对照品溶液。照薄层色谱法（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Style w:val="14"/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年版通则0502）试验，吸取上述三种溶液各10μl，分别点于同一硅胶G薄层板上，以环己烷-二氯甲烷-乙酸乙酯-甲酸（4∶1∶1∶0.1）为展开剂，展开，取出，晾干，置紫外光灯（365nm）下检视。供试品色谱中，在与对照品色谱相应的位置上，显相同颜色的荧光斑点。</w:t>
      </w:r>
    </w:p>
    <w:p w14:paraId="64C8EF4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4.4检查</w:t>
      </w:r>
    </w:p>
    <w:p w14:paraId="0FFA2FB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4.4.1 水分</w:t>
      </w:r>
    </w:p>
    <w:p w14:paraId="18434903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15.0%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（《中华人民共和国药典》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年版通则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0832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第四法）。</w:t>
      </w:r>
    </w:p>
    <w:p w14:paraId="5C92F15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4.4.2 总灰分</w:t>
      </w:r>
    </w:p>
    <w:p w14:paraId="2B06556A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7.0%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（《中华人民共和国药典》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年版通则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2302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4ABABFC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default" w:ascii="Times New Roman" w:hAnsi="Times New Roman" w:eastAsia="黑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4.4.3 酸不溶性</w:t>
      </w:r>
      <w:r>
        <w:rPr>
          <w:rFonts w:hint="default" w:ascii="Times New Roman" w:hAnsi="Times New Roman" w:eastAsia="黑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灰分</w:t>
      </w:r>
    </w:p>
    <w:p w14:paraId="3A44DE9A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2.0%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（《中华人民共和国药典》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2020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年版通则</w:t>
      </w:r>
      <w:r>
        <w:rPr>
          <w:rFonts w:hint="default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2302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）。</w:t>
      </w:r>
    </w:p>
    <w:p w14:paraId="0D8EA04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4.4.4 浸出物</w:t>
      </w:r>
    </w:p>
    <w:p w14:paraId="12503F01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照醇溶性浸出物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测定法（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通则2201）项下的热浸法测定，用70%乙醇作溶剂，不得少于45.0%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5538AE18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eastAsia="黑体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4.4.5 </w:t>
      </w:r>
      <w:r>
        <w:rPr>
          <w:sz w:val="21"/>
          <w:szCs w:val="21"/>
          <w:highlight w:val="none"/>
        </w:rPr>
        <w:t>二氧化硫</w:t>
      </w:r>
      <w:r>
        <w:rPr>
          <w:rFonts w:hint="eastAsia"/>
          <w:sz w:val="21"/>
          <w:szCs w:val="21"/>
          <w:highlight w:val="none"/>
          <w:lang w:val="en-US" w:eastAsia="zh-CN"/>
        </w:rPr>
        <w:t>残留</w:t>
      </w:r>
    </w:p>
    <w:p w14:paraId="6EAE6B6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照二氧化硫残留量测定法</w:t>
      </w:r>
      <w:bookmarkStart w:id="21" w:name="_Hlk165566999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（《中华人民共和国药典》2020年版通则2331）</w:t>
      </w:r>
      <w:bookmarkEnd w:id="21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测定，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不得过150mg/kg。</w:t>
      </w:r>
    </w:p>
    <w:p w14:paraId="350391D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1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2" w:name="_Toc22721"/>
      <w:bookmarkStart w:id="23" w:name="_Toc15704"/>
      <w:bookmarkStart w:id="24" w:name="_Toc12303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4.4.6 重金属</w:t>
      </w:r>
      <w:bookmarkEnd w:id="22"/>
      <w:bookmarkEnd w:id="23"/>
      <w:bookmarkEnd w:id="24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残留</w:t>
      </w:r>
    </w:p>
    <w:p w14:paraId="517F4A8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照《中华人民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共和国药典》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2020版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通则2321原子吸收分光光度法或电感耦合等离子体质谱法测定，铅不得过10mg/kg；镉不得过1mg/kg；砷不得过5mg/kg；汞不得过1mg/kg；铜不得过20mg/kg。</w:t>
      </w:r>
    </w:p>
    <w:p w14:paraId="2AD8E6A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bookmarkStart w:id="25" w:name="_Toc27823"/>
      <w:bookmarkStart w:id="26" w:name="_Toc19185"/>
      <w:bookmarkStart w:id="27" w:name="_Toc10374"/>
      <w:bookmarkStart w:id="28" w:name="_Toc5414"/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4.4.7 农药残留</w:t>
      </w:r>
      <w:bookmarkEnd w:id="25"/>
      <w:bookmarkEnd w:id="26"/>
      <w:bookmarkEnd w:id="27"/>
      <w:bookmarkEnd w:id="28"/>
    </w:p>
    <w:p w14:paraId="3A8CA25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《中华人民共和国药典》通则0212中列出的禁用农药不得检出。</w:t>
      </w:r>
    </w:p>
    <w:p w14:paraId="6F2B72D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 含量</w:t>
      </w:r>
    </w:p>
    <w:p w14:paraId="715FF71B">
      <w:pPr>
        <w:pStyle w:val="1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240" w:lineRule="auto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按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当归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干燥品计算，含阿魏酸（Ｃ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vertAlign w:val="subscript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）不得少于0.050%（</w:t>
      </w:r>
      <w:r>
        <w:rPr>
          <w:rFonts w:hint="eastAsia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《中华人民共和国药典》2020版高效液相色谱法通则0512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）。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含挥发油不得少于0.4%（ml/g）（《中华人民共和国药典》2020版通则2204乙法）</w:t>
      </w:r>
      <w:r>
        <w:rPr>
          <w:rFonts w:hint="eastAsia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5AFD0E9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 质量控制</w:t>
      </w:r>
    </w:p>
    <w:p w14:paraId="2F26449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4.6.1 可追溯</w:t>
      </w:r>
    </w:p>
    <w:p w14:paraId="0823D3C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岷当归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6878B7C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4.6.2 药材生产管理规范</w:t>
      </w:r>
    </w:p>
    <w:p w14:paraId="2D6ECD0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精品药材岷当归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应符合中药材GAP管理要求，并通过GAP备案或延伸检查。</w:t>
      </w:r>
    </w:p>
    <w:p w14:paraId="2251457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4.6.3 道地药材</w:t>
      </w:r>
    </w:p>
    <w:p w14:paraId="27F6BB2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精品药材当归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1A14C94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4.7 等级及集采要求</w:t>
      </w:r>
    </w:p>
    <w:p w14:paraId="73520B1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岷当归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精品药材具体要求见表1。</w:t>
      </w:r>
    </w:p>
    <w:tbl>
      <w:tblPr>
        <w:tblStyle w:val="10"/>
        <w:tblpPr w:leftFromText="180" w:rightFromText="180" w:vertAnchor="text" w:horzAnchor="page" w:tblpX="1268" w:tblpY="489"/>
        <w:tblOverlap w:val="never"/>
        <w:tblW w:w="98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730"/>
        <w:gridCol w:w="2822"/>
        <w:gridCol w:w="1890"/>
        <w:gridCol w:w="2327"/>
      </w:tblGrid>
      <w:tr w14:paraId="44B55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60FCB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岷当归</w:t>
            </w:r>
          </w:p>
        </w:tc>
      </w:tr>
      <w:tr w14:paraId="016219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78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037D03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0F1E33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2DADD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FC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4019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814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2B8E4C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657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3930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52C7C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伞形科植物当归</w:t>
            </w:r>
            <w:r>
              <w:rPr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Angelica sinensis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（Oliv.）Diels</w:t>
            </w:r>
          </w:p>
        </w:tc>
      </w:tr>
      <w:tr w14:paraId="418D9A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55B4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53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BA9337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干燥根</w:t>
            </w:r>
          </w:p>
        </w:tc>
      </w:tr>
      <w:tr w14:paraId="3C7C0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E7F0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177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380A4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秋末采挖</w:t>
            </w:r>
          </w:p>
        </w:tc>
      </w:tr>
      <w:tr w14:paraId="3A4C96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A91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21B2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9D2BF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熏干</w:t>
            </w:r>
          </w:p>
        </w:tc>
      </w:tr>
      <w:tr w14:paraId="113C3C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FB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3275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47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594732D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甘肃、云南等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1A151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甘肃省岷县及其周边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云南省鹤庆、丽江、兰坪、剑川、维西、德钦、香格里拉等</w:t>
            </w:r>
          </w:p>
        </w:tc>
      </w:tr>
      <w:tr w14:paraId="0DB89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2716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D93C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采收年限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628C3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2年</w:t>
            </w:r>
          </w:p>
        </w:tc>
      </w:tr>
      <w:tr w14:paraId="146D2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DC9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D85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BA15F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本品略呈圆柱形</w:t>
            </w:r>
          </w:p>
        </w:tc>
      </w:tr>
      <w:tr w14:paraId="5D451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9B11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5C3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00DD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有浓郁的香气，味甘、辛、微苦</w:t>
            </w:r>
          </w:p>
        </w:tc>
      </w:tr>
      <w:tr w14:paraId="5B826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7D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0087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96087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断面黄白色或淡黄棕色</w:t>
            </w:r>
          </w:p>
        </w:tc>
      </w:tr>
      <w:tr w14:paraId="7B05AE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A81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B18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865E6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质柔韧</w:t>
            </w:r>
          </w:p>
        </w:tc>
      </w:tr>
      <w:tr w14:paraId="0248DA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6899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4ED9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57BF8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表面浅棕色至棕褐色，具纵皱纹和横长皮孔样突起</w:t>
            </w:r>
          </w:p>
        </w:tc>
      </w:tr>
      <w:tr w14:paraId="537DE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B91F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F25F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重量</w:t>
            </w:r>
          </w:p>
        </w:tc>
        <w:tc>
          <w:tcPr>
            <w:tcW w:w="282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vAlign w:val="center"/>
          </w:tcPr>
          <w:p w14:paraId="17358AD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全归每千克支数10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120，单支重5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70g；</w:t>
            </w:r>
          </w:p>
          <w:p w14:paraId="663C954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归头每千克支数10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90，单支重10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60g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8CCA68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全归每千克支数40～70，单支重15～25g；</w:t>
            </w:r>
          </w:p>
          <w:p w14:paraId="47FA4AD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归头每千克支数40～80，单支重15～25g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A8A6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全归每千克支数40～70，单支重15～25g；</w:t>
            </w:r>
          </w:p>
          <w:p w14:paraId="3589602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归头每千克支数40～80，单支重15～25g</w:t>
            </w:r>
          </w:p>
        </w:tc>
      </w:tr>
      <w:tr w14:paraId="7E01D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8A5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1C7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7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B278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全归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15～25cm</w:t>
            </w:r>
          </w:p>
          <w:p w14:paraId="0DD3139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归头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1.5～4cm</w:t>
            </w:r>
          </w:p>
        </w:tc>
      </w:tr>
      <w:tr w14:paraId="3CE91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C621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20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3F3985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横切面：木栓层为数列细胞。栓内层窄，有少数油室。韧皮部宽广，多裂隙，油室和油管类圆形，直径25～160μm，外侧较大，向内渐小，周围分泌细胞6～9个。形成层成环。木质部射线宽3～5列细胞；导管单个散在或2～3个相聚，呈放射状排列；薄壁细胞含淀粉粒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025EBEB">
            <w:pPr>
              <w:pStyle w:val="2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粉末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淡黄棕色。韧皮薄壁细胞纺锤形，壁略厚，表面有极微细的斜向交错纹理，有时可见菲薄的横隔。梯纹导管和网纹导管多见，直径约至80μm。有时可见油室碎片</w:t>
            </w:r>
          </w:p>
        </w:tc>
      </w:tr>
      <w:tr w14:paraId="27FEE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99A3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EF8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BD54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取本品粉末0.5g，加乙醚20ml，超声处理10分钟，滤过，滤液蒸干，残渣加乙醇1ml使溶解，作为供试品溶液。另取当归对照药材0.5g，同法制成对照药材溶液。照薄层色谱法（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试验，吸取上述两种溶液各10μl，分别点于同一硅胶G薄层板上，以正己烷-乙酸乙酯（4∶1）为展开剂，展开，取出，晾干，置紫外光灯（365nm）下检视。供试品色谱中，在与对照药材色谱相应的位置上，显相同颜色的荧光斑点</w:t>
            </w:r>
          </w:p>
        </w:tc>
      </w:tr>
      <w:tr w14:paraId="3CF1F3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F38B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01F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F9319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取本品粉末3g，加1%碳酸氢钠溶液50ml，超声处理10分钟，离心，取上清液用稀盐酸调节pH值至2～3，用乙醚振摇提取2次，每次20ml，合并乙醚液，挥干，残渣加甲醇1ml使溶解，作为供试品溶液。另取阿魏酸对照品、藁本内酯对照品，加甲醇制成每1ml各含1mg的溶液，作为对照品溶液。照薄层色谱法（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《中华人民共和国药典》2020年版通则0502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）试验，吸取上述三种溶液各10μl，分别点于同一硅胶G薄层板上，以环己烷-二氯甲烷-乙酸乙酯-甲酸（4∶1∶1∶0.1）为展开剂，展开，取出，晾干，置紫外光灯（365nm）下检视。供试品色谱中，在与对照品色谱相应的位置上，显相同颜色的荧光斑点</w:t>
            </w:r>
          </w:p>
        </w:tc>
      </w:tr>
      <w:tr w14:paraId="6E0A32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B87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4D32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2DCB9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不得过15.0%</w:t>
            </w:r>
          </w:p>
        </w:tc>
      </w:tr>
      <w:tr w14:paraId="6DA392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C59EE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143E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4A19E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不得过7.0%</w:t>
            </w:r>
          </w:p>
        </w:tc>
      </w:tr>
      <w:tr w14:paraId="15C47D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A6D3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59084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酸不溶性灰分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D9A3B1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不得过2.0%</w:t>
            </w:r>
          </w:p>
        </w:tc>
      </w:tr>
      <w:tr w14:paraId="04FF0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D2A2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E39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607B96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45F92A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FE01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216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9991D5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1FDF6D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3D95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C8A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318CBF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铅不得过5mg/kg；镉不得过1mg/kg；砷不得过2mg/kg；汞不得过0.2mg/kg；铜不得过20mg/kg</w:t>
            </w:r>
          </w:p>
        </w:tc>
      </w:tr>
      <w:tr w14:paraId="6AC96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EE9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5132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醇溶性浸出物</w:t>
            </w:r>
          </w:p>
        </w:tc>
        <w:tc>
          <w:tcPr>
            <w:tcW w:w="7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B9561D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不得少于45.0%</w:t>
            </w:r>
          </w:p>
        </w:tc>
      </w:tr>
      <w:tr w14:paraId="01F1D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2ED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3405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阿魏酸（Ｃ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vertAlign w:val="subscript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7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7A182C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不得少于0.05%</w:t>
            </w:r>
          </w:p>
        </w:tc>
      </w:tr>
      <w:tr w14:paraId="11CE1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1180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FE2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挥发油</w:t>
            </w:r>
          </w:p>
        </w:tc>
        <w:tc>
          <w:tcPr>
            <w:tcW w:w="703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037C2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不得少于0.4%（ml/g)</w:t>
            </w:r>
          </w:p>
        </w:tc>
      </w:tr>
      <w:tr w14:paraId="56B42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6AD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7884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703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794DAB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6D0D2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314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B0B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D8F8EC3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0D2E172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7641990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67780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4615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89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28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E801484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CA8FA6A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613A4E">
            <w:pPr>
              <w:pStyle w:val="2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42258B3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36B283D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55527F9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02501D1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当归集采交易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6E75996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06875" cy="3033395"/>
            <wp:effectExtent l="0" t="0" r="0" b="0"/>
            <wp:docPr id="16" name="图片 16" descr="35-当归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35-当归（统货）"/>
                    <pic:cNvPicPr>
                      <a:picLocks noChangeAspect="1"/>
                    </pic:cNvPicPr>
                  </pic:nvPicPr>
                  <pic:blipFill>
                    <a:blip r:embed="rId15"/>
                    <a:srcRect l="1134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303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3477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图A1 当归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0D78D2E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171315" cy="2872740"/>
            <wp:effectExtent l="0" t="0" r="0" b="0"/>
            <wp:docPr id="9" name="图片 9" descr="35-当归（选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5-当归（选货）"/>
                    <pic:cNvPicPr>
                      <a:picLocks noChangeAspect="1"/>
                    </pic:cNvPicPr>
                  </pic:nvPicPr>
                  <pic:blipFill>
                    <a:blip r:embed="rId16"/>
                    <a:srcRect l="1916" r="1284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287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7CCC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图A2 当归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1DC4480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bookmarkEnd w:id="20"/>
    <w:p w14:paraId="5F8D59C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29" w:name="_Toc501701529"/>
      <w:r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55135" cy="3216275"/>
            <wp:effectExtent l="0" t="0" r="12065" b="9525"/>
            <wp:docPr id="5" name="图片 5" descr="当归片 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当归片 选货"/>
                    <pic:cNvPicPr>
                      <a:picLocks noChangeAspect="1"/>
                    </pic:cNvPicPr>
                  </pic:nvPicPr>
                  <pic:blipFill>
                    <a:blip r:embed="rId17">
                      <a:lum bright="12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135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06C17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图A3 当归片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002F15D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55135" cy="3495675"/>
            <wp:effectExtent l="0" t="0" r="12065" b="9525"/>
            <wp:docPr id="17" name="图片 17" descr="当归片 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当归片 统货"/>
                    <pic:cNvPicPr>
                      <a:picLocks noChangeAspect="1"/>
                    </pic:cNvPicPr>
                  </pic:nvPicPr>
                  <pic:blipFill>
                    <a:blip r:embed="rId18">
                      <a:lum bright="12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13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1D51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 w14:paraId="093C681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图A4 当归片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773C871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jc w:val="center"/>
        <w:rPr>
          <w:rFonts w:hint="eastAsia" w:ascii="Times New Roman" w:hAnsi="Times New Roman" w:eastAsia="宋体"/>
          <w:strike/>
          <w:color w:val="000000" w:themeColor="text1"/>
          <w:highlight w:val="none"/>
          <w:lang w:eastAsia="zh-CN"/>
          <w14:textFill>
            <w14:solidFill>
              <w14:schemeClr w14:val="tx1"/>
            </w14:solidFill>
          </w14:textFill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9"/>
    <w:p w14:paraId="3CB29C5F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0" w:name="_Toc25047693"/>
      <w:bookmarkStart w:id="31" w:name="_Toc27406"/>
      <w:bookmarkStart w:id="32" w:name="_Toc9701"/>
      <w:bookmarkStart w:id="33" w:name="_Toc26118"/>
      <w:bookmarkStart w:id="34" w:name="_Toc15722"/>
      <w:bookmarkStart w:id="35" w:name="_Toc7443"/>
      <w:bookmarkStart w:id="36" w:name="_Toc16858"/>
      <w:bookmarkStart w:id="37" w:name="_Toc30293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602560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CF404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1E299B53">
    <w:pPr>
      <w:pStyle w:val="5"/>
      <w:ind w:left="-283" w:leftChars="-135"/>
      <w:jc w:val="right"/>
    </w:pPr>
  </w:p>
  <w:p w14:paraId="6134971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DDBC2B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0B66D86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58CB7A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9AF70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24F2CE16">
    <w:pPr>
      <w:pStyle w:val="5"/>
      <w:ind w:left="-283" w:leftChars="-135"/>
      <w:jc w:val="right"/>
    </w:pPr>
  </w:p>
  <w:p w14:paraId="63B23F4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ECC644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2670C3EA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03B85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C48F3C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C48F3C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52E74BA6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E1F51AD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3DD6F3">
    <w:pPr>
      <w:pStyle w:val="21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E99A72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0E99A72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F3434">
    <w:pPr>
      <w:pStyle w:val="6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0001.10-2024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44682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43848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B43848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EFC405">
    <w:pPr>
      <w:pStyle w:val="6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0001.10-2024</w:t>
    </w:r>
  </w:p>
  <w:p w14:paraId="03D5EC65">
    <w:pPr>
      <w:pStyle w:val="6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7C50EC"/>
    <w:rsid w:val="023F2479"/>
    <w:rsid w:val="024C6127"/>
    <w:rsid w:val="02555598"/>
    <w:rsid w:val="06EE6695"/>
    <w:rsid w:val="073B0A4A"/>
    <w:rsid w:val="076169DC"/>
    <w:rsid w:val="07D478A0"/>
    <w:rsid w:val="07E47845"/>
    <w:rsid w:val="07E5385B"/>
    <w:rsid w:val="09016E4E"/>
    <w:rsid w:val="09D57F46"/>
    <w:rsid w:val="0AD93052"/>
    <w:rsid w:val="12BE1B38"/>
    <w:rsid w:val="1356385F"/>
    <w:rsid w:val="152722F4"/>
    <w:rsid w:val="15B2766E"/>
    <w:rsid w:val="16273E12"/>
    <w:rsid w:val="181571B0"/>
    <w:rsid w:val="186662F2"/>
    <w:rsid w:val="19733042"/>
    <w:rsid w:val="19CA0B03"/>
    <w:rsid w:val="19FC0E2B"/>
    <w:rsid w:val="1A7A7A3E"/>
    <w:rsid w:val="1AAF290F"/>
    <w:rsid w:val="1B5A68E3"/>
    <w:rsid w:val="1B754A9E"/>
    <w:rsid w:val="1B78507E"/>
    <w:rsid w:val="1B9703C5"/>
    <w:rsid w:val="1C8675B7"/>
    <w:rsid w:val="1E5103DE"/>
    <w:rsid w:val="1E861C86"/>
    <w:rsid w:val="1EFB350D"/>
    <w:rsid w:val="1FC46101"/>
    <w:rsid w:val="23492C57"/>
    <w:rsid w:val="23F15BAD"/>
    <w:rsid w:val="24912E3C"/>
    <w:rsid w:val="28550131"/>
    <w:rsid w:val="2925785E"/>
    <w:rsid w:val="2A5B545F"/>
    <w:rsid w:val="2A753B73"/>
    <w:rsid w:val="2AF75E4C"/>
    <w:rsid w:val="2E455E47"/>
    <w:rsid w:val="2F9759B2"/>
    <w:rsid w:val="2FB92AA4"/>
    <w:rsid w:val="304E7CC9"/>
    <w:rsid w:val="312F185C"/>
    <w:rsid w:val="31516EA1"/>
    <w:rsid w:val="32B51490"/>
    <w:rsid w:val="33271D45"/>
    <w:rsid w:val="340D091B"/>
    <w:rsid w:val="3561555A"/>
    <w:rsid w:val="35A4676A"/>
    <w:rsid w:val="360102D7"/>
    <w:rsid w:val="37A67673"/>
    <w:rsid w:val="38420F61"/>
    <w:rsid w:val="39455658"/>
    <w:rsid w:val="398E66CE"/>
    <w:rsid w:val="3A154769"/>
    <w:rsid w:val="3BFA3D73"/>
    <w:rsid w:val="3E4422E0"/>
    <w:rsid w:val="40622E08"/>
    <w:rsid w:val="40D774DE"/>
    <w:rsid w:val="40DF3E29"/>
    <w:rsid w:val="45116B31"/>
    <w:rsid w:val="46566D64"/>
    <w:rsid w:val="474451A1"/>
    <w:rsid w:val="47AE6527"/>
    <w:rsid w:val="48E40F8C"/>
    <w:rsid w:val="4A7B2700"/>
    <w:rsid w:val="4A81054F"/>
    <w:rsid w:val="4DC46C22"/>
    <w:rsid w:val="4DEF088E"/>
    <w:rsid w:val="4E1C64F6"/>
    <w:rsid w:val="4E2A2887"/>
    <w:rsid w:val="4E4B6454"/>
    <w:rsid w:val="4F145070"/>
    <w:rsid w:val="4F712776"/>
    <w:rsid w:val="506B0588"/>
    <w:rsid w:val="5073598C"/>
    <w:rsid w:val="50FB685E"/>
    <w:rsid w:val="516062B6"/>
    <w:rsid w:val="522A30F1"/>
    <w:rsid w:val="524467E0"/>
    <w:rsid w:val="54D602CC"/>
    <w:rsid w:val="554149BF"/>
    <w:rsid w:val="556B21D1"/>
    <w:rsid w:val="56121E41"/>
    <w:rsid w:val="57203535"/>
    <w:rsid w:val="595A2602"/>
    <w:rsid w:val="5B383785"/>
    <w:rsid w:val="5D2D6150"/>
    <w:rsid w:val="5F1848A4"/>
    <w:rsid w:val="5F8A1E93"/>
    <w:rsid w:val="6006501C"/>
    <w:rsid w:val="638C249F"/>
    <w:rsid w:val="642D2F12"/>
    <w:rsid w:val="6579425D"/>
    <w:rsid w:val="6655667C"/>
    <w:rsid w:val="685D323F"/>
    <w:rsid w:val="68600824"/>
    <w:rsid w:val="6A240198"/>
    <w:rsid w:val="6B874E99"/>
    <w:rsid w:val="6CD82B88"/>
    <w:rsid w:val="6CFD2350"/>
    <w:rsid w:val="6E82467D"/>
    <w:rsid w:val="6F2513BD"/>
    <w:rsid w:val="6F9600A4"/>
    <w:rsid w:val="6FDF586B"/>
    <w:rsid w:val="6FE52CEE"/>
    <w:rsid w:val="71281202"/>
    <w:rsid w:val="712A66B5"/>
    <w:rsid w:val="71D36D7A"/>
    <w:rsid w:val="746F2FAE"/>
    <w:rsid w:val="75C90F16"/>
    <w:rsid w:val="76031347"/>
    <w:rsid w:val="78881B15"/>
    <w:rsid w:val="78CA2E27"/>
    <w:rsid w:val="78FC11DC"/>
    <w:rsid w:val="7A3251AA"/>
    <w:rsid w:val="7C792994"/>
    <w:rsid w:val="7D052701"/>
    <w:rsid w:val="7EB3205F"/>
    <w:rsid w:val="7EDD7999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0"/>
      </w:numPr>
      <w:spacing w:before="100" w:beforeLines="100" w:beforeAutospacing="0" w:after="100" w:afterLines="100" w:afterAutospacing="0" w:line="240" w:lineRule="auto"/>
      <w:ind w:left="0" w:firstLine="0"/>
      <w:outlineLvl w:val="0"/>
    </w:pPr>
    <w:rPr>
      <w:rFonts w:ascii="黑体" w:hAnsi="黑体" w:eastAsia="黑体"/>
      <w:kern w:val="44"/>
      <w:sz w:val="28"/>
    </w:rPr>
  </w:style>
  <w:style w:type="character" w:default="1" w:styleId="11">
    <w:name w:val="Default Paragraph Font"/>
    <w:autoRedefine/>
    <w:qFormat/>
    <w:uiPriority w:val="0"/>
    <w:rPr>
      <w:rFonts w:ascii="Times New Roman" w:hAnsi="Times New Roman" w:eastAsia="微软雅黑"/>
      <w:sz w:val="21"/>
    </w:rPr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spacing w:before="100" w:beforeLines="100" w:after="100" w:afterLines="100"/>
      <w:ind w:left="0" w:firstLine="420" w:firstLineChars="200"/>
    </w:pPr>
    <w:rPr>
      <w:rFonts w:ascii="宋体" w:hAnsi="宋体"/>
      <w:sz w:val="28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3">
    <w:name w:val="样式1"/>
    <w:basedOn w:val="1"/>
    <w:link w:val="14"/>
    <w:autoRedefine/>
    <w:qFormat/>
    <w:uiPriority w:val="0"/>
    <w:pPr>
      <w:spacing w:after="100" w:afterLines="100"/>
      <w:ind w:firstLine="420" w:firstLineChars="200"/>
    </w:pPr>
    <w:rPr>
      <w:rFonts w:ascii="宋体" w:hAnsi="宋体" w:cs="宋体"/>
      <w:sz w:val="28"/>
      <w:szCs w:val="28"/>
    </w:rPr>
  </w:style>
  <w:style w:type="character" w:customStyle="1" w:styleId="14">
    <w:name w:val="样式1 Char"/>
    <w:link w:val="13"/>
    <w:autoRedefine/>
    <w:qFormat/>
    <w:uiPriority w:val="0"/>
    <w:rPr>
      <w:rFonts w:ascii="宋体" w:hAnsi="宋体" w:cs="宋体"/>
      <w:sz w:val="28"/>
      <w:szCs w:val="28"/>
    </w:rPr>
  </w:style>
  <w:style w:type="paragraph" w:customStyle="1" w:styleId="15">
    <w:name w:val="实施日期"/>
    <w:basedOn w:val="16"/>
    <w:autoRedefine/>
    <w:qFormat/>
    <w:uiPriority w:val="0"/>
    <w:pPr>
      <w:framePr w:wrap="around" w:vAnchor="page" w:hAnchor="text"/>
      <w:jc w:val="right"/>
    </w:pPr>
  </w:style>
  <w:style w:type="paragraph" w:customStyle="1" w:styleId="16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7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8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9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0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1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23">
    <w:name w:val="样式2"/>
    <w:basedOn w:val="1"/>
    <w:autoRedefine/>
    <w:qFormat/>
    <w:uiPriority w:val="0"/>
    <w:pPr>
      <w:ind w:firstLine="0" w:firstLineChars="0"/>
      <w:jc w:val="center"/>
    </w:pPr>
    <w:rPr>
      <w:rFonts w:ascii="微软雅黑" w:hAnsi="微软雅黑" w:eastAsia="微软雅黑" w:cs="微软雅黑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3503</Words>
  <Characters>4327</Characters>
  <Lines>0</Lines>
  <Paragraphs>0</Paragraphs>
  <TotalTime>0</TotalTime>
  <ScaleCrop>false</ScaleCrop>
  <LinksUpToDate>false</LinksUpToDate>
  <CharactersWithSpaces>4405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F9D0001ACC2F421889879242977ACBD2_13</vt:lpwstr>
  </property>
</Properties>
</file>