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34A31">
      <w:pPr>
        <w:pStyle w:val="3"/>
        <w:bidi w:val="0"/>
      </w:pP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811655" cy="657860"/>
                <wp:effectExtent l="0" t="0" r="190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165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DE1532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63FB56A2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30777E00">
                            <w:pPr>
                              <w:pStyle w:val="19"/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42.6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FRblg2gAAAAoBAAAPAAAAAAAA&#10;AAEAIAAAACIAAABkcnMvZG93bnJldi54bWxQSwECFAAUAAAACACHTuJAZiSkDR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EDE1532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63FB56A2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30777E00">
                      <w:pPr>
                        <w:pStyle w:val="19"/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E758823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left"/>
        <w:rPr>
          <w:rFonts w:ascii="宋体" w:hAnsi="宋体"/>
          <w:bCs/>
          <w:color w:val="000000"/>
          <w:sz w:val="32"/>
          <w:szCs w:val="32"/>
          <w:highlight w:val="none"/>
        </w:rPr>
      </w:pP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B51CF7">
                            <w:pPr>
                              <w:pStyle w:val="19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2B51CF7">
                      <w:pPr>
                        <w:pStyle w:val="19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255E59D">
                            <w:pPr>
                              <w:pStyle w:val="20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255E59D">
                      <w:pPr>
                        <w:pStyle w:val="20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092190" cy="860425"/>
                <wp:effectExtent l="0" t="0" r="3810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4876AC">
                            <w:pPr>
                              <w:pStyle w:val="21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.25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146C3580">
                            <w:pPr>
                              <w:pStyle w:val="21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67.75pt;width:479.7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pbZ202gAAAAsBAAAPAAAAAAAA&#10;AAEAIAAAACIAAABkcnMvZG93bnJldi54bWxQSwECFAAUAAAACACHTuJAM3d3/h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F4876AC">
                      <w:pPr>
                        <w:pStyle w:val="21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.25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146C3580">
                      <w:pPr>
                        <w:pStyle w:val="21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16540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60325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1.8pt;margin-top:4.75pt;height:0pt;width:481.9pt;z-index:251662336;mso-width-relative:page;mso-height-relative:page;" filled="f" stroked="t" coordsize="21600,21600" o:gfxdata="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UNi+jtUAAAAHAQAADwAAAAAAAAABACAAAAAi&#10;AAAAZHJzL2Rvd25yZXYueG1sUEsBAhQAFAAAAAgAh07iQF92Of3UAQAAswMAAA4AAAAAAAAAAQAg&#10;AAAAJ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  <w:t xml:space="preserve"> 文山三七</w:t>
      </w:r>
    </w:p>
    <w:p w14:paraId="76BC833D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ind w:left="-420" w:leftChars="-200" w:right="-304" w:rightChars="-145" w:firstLine="0" w:firstLineChars="0"/>
        <w:jc w:val="center"/>
        <w:rPr>
          <w:rFonts w:hint="eastAsia" w:ascii="黑体" w:hAnsi="黑体" w:eastAsia="黑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genuine regional materia medica</w:t>
      </w:r>
    </w:p>
    <w:p w14:paraId="220018A5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rPr>
          <w:rFonts w:ascii="Times New Roman" w:hAnsi="Times New Roman" w:eastAsia="黑体"/>
          <w:bCs/>
          <w:sz w:val="28"/>
          <w:szCs w:val="28"/>
          <w:highlight w:val="none"/>
        </w:rPr>
      </w:pPr>
      <w:r>
        <w:rPr>
          <w:rFonts w:hint="eastAsia" w:ascii="黑体" w:hAnsi="黑体" w:eastAsia="黑体"/>
          <w:bCs/>
          <w:color w:val="auto"/>
          <w:sz w:val="28"/>
          <w:szCs w:val="28"/>
          <w:highlight w:val="none"/>
        </w:rPr>
        <w:t>NOTOGINSENG RADIX ET RHIZOMA</w:t>
      </w:r>
      <w:r>
        <w:rPr>
          <w:rFonts w:ascii="Times New Roman" w:hAnsi="Times New Roman" w:eastAsia="黑体"/>
          <w:bCs/>
          <w:sz w:val="28"/>
          <w:szCs w:val="28"/>
          <w:highlight w:val="none"/>
        </w:rPr>
        <w:t xml:space="preserve"> 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18BA6C9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rPr>
          <w:rFonts w:ascii="宋体" w:hAnsi="宋体"/>
          <w:bCs/>
          <w:color w:val="000000"/>
          <w:sz w:val="36"/>
          <w:szCs w:val="36"/>
          <w:highlight w:val="none"/>
        </w:rPr>
      </w:pPr>
      <w:bookmarkStart w:id="37" w:name="_GoBack"/>
      <w:bookmarkEnd w:id="37"/>
    </w:p>
    <w:p w14:paraId="69E4C4BD">
      <w:pPr>
        <w:pStyle w:val="15"/>
        <w:pageBreakBefore w:val="0"/>
        <w:framePr w:wrap="around" w:vAnchor="margin" w:yAlign="top"/>
        <w:kinsoku/>
        <w:wordWrap/>
        <w:overflowPunct/>
        <w:topLinePunct w:val="0"/>
        <w:bidi w:val="0"/>
        <w:adjustRightInd/>
        <w:spacing w:before="157" w:beforeLines="50" w:after="157" w:afterLines="50"/>
        <w:ind w:left="5250" w:right="280"/>
        <w:rPr>
          <w:color w:val="000000"/>
          <w:highlight w:val="none"/>
        </w:rPr>
      </w:pPr>
    </w:p>
    <w:p w14:paraId="11F77B59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ascii="宋体" w:hAnsi="宋体"/>
          <w:bCs/>
          <w:color w:val="000000"/>
          <w:sz w:val="36"/>
          <w:szCs w:val="36"/>
          <w:highlight w:val="none"/>
        </w:rPr>
      </w:pP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04F149F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77D6CA">
                                  <w:pPr>
                                    <w:pStyle w:val="22"/>
                                    <w:rPr>
                                      <w:rFonts w:hint="default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 xml:space="preserve">中国乡村发展协会 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5281DDD">
                                  <w:pPr>
                                    <w:pStyle w:val="22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1920060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04F149F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77D6CA">
                            <w:pPr>
                              <w:pStyle w:val="22"/>
                              <w:rPr>
                                <w:rFonts w:hint="default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 xml:space="preserve">中国乡村发展协会 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5281DDD">
                            <w:pPr>
                              <w:pStyle w:val="22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1920060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1C349A0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1lJ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1C349A0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002330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6002330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A7585B">
      <w:pPr>
        <w:pageBreakBefore w:val="0"/>
        <w:tabs>
          <w:tab w:val="left" w:pos="1305"/>
        </w:tabs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ascii="Times New Roman" w:hAnsi="Times New Roman"/>
          <w:color w:val="000000"/>
          <w:szCs w:val="21"/>
          <w:highlight w:val="non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-307340</wp:posOffset>
                </wp:positionH>
                <wp:positionV relativeFrom="paragraph">
                  <wp:posOffset>2861945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24.2pt;margin-top:225.35pt;height:0pt;width:481.9pt;z-index:251666432;mso-width-relative:page;mso-height-relative:page;" filled="f" stroked="t" coordsize="21600,21600" o:gfxdata="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Ow5I0b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C7307EA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0" w:beforeLines="100" w:after="0" w:afterLines="100"/>
        <w:jc w:val="center"/>
        <w:outlineLvl w:val="0"/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</w:pPr>
      <w:bookmarkStart w:id="0" w:name="_Toc18100"/>
      <w:bookmarkStart w:id="1" w:name="_Toc22401"/>
      <w:bookmarkStart w:id="2" w:name="_Toc11998"/>
      <w:bookmarkStart w:id="3" w:name="_Toc7349"/>
      <w:bookmarkStart w:id="4" w:name="_Toc18223"/>
      <w:bookmarkStart w:id="5" w:name="_Toc16010"/>
      <w:bookmarkStart w:id="6" w:name="_Toc26679"/>
      <w:bookmarkStart w:id="7" w:name="_Toc840"/>
      <w:bookmarkStart w:id="8" w:name="_Toc13472"/>
      <w:bookmarkStart w:id="9" w:name="_Toc21586"/>
      <w:bookmarkStart w:id="10" w:name="_Toc30137"/>
      <w:bookmarkStart w:id="11" w:name="_Toc29175"/>
      <w:bookmarkStart w:id="12" w:name="_Toc19640"/>
      <w:bookmarkStart w:id="13" w:name="_Toc26541137"/>
      <w:bookmarkStart w:id="14" w:name="_Toc23109710"/>
      <w:bookmarkStart w:id="15" w:name="_Toc5123"/>
      <w:bookmarkStart w:id="16" w:name="_Toc5094"/>
      <w:bookmarkStart w:id="17" w:name="_Toc13900"/>
      <w:bookmarkStart w:id="18" w:name="_Toc31551"/>
      <w:bookmarkStart w:id="19" w:name="_Toc32599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  <w:highlight w:val="none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6A0EF37E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本标准按照GB/T 1.1-2009《标准化工作导则 第1部分：标准的结构和编写》给出的规则起草。</w:t>
      </w:r>
    </w:p>
    <w:p w14:paraId="09D41D0B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本标准由中国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/>
          <w:color w:val="auto"/>
          <w:sz w:val="21"/>
          <w:szCs w:val="21"/>
        </w:rPr>
        <w:t>提出并归口。</w:t>
      </w:r>
    </w:p>
    <w:p w14:paraId="41AF977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本标准起草单位：文山学院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成都中医药大学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、云南省中药材种植（养殖）协会、文山州三七和中医药产业发展中心、文山三七集团有限公司、文山高田三七中药饮片有限公司、云南特安呐股份有限公司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中健安检测认证中心有限公司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。</w:t>
      </w:r>
    </w:p>
    <w:p w14:paraId="001D55A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本标准主要起草人：辛文锋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 w:val="21"/>
          <w:szCs w:val="21"/>
        </w:rPr>
        <w:t>高继海、邓华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/>
          <w:color w:val="auto"/>
          <w:szCs w:val="21"/>
        </w:rPr>
        <w:t>高明菊、苏豹、刘华荣、文智弘、饶大江、邹慧宁</w:t>
      </w:r>
      <w:r>
        <w:rPr>
          <w:rFonts w:hint="eastAsia" w:ascii="宋体" w:hAnsi="宋体"/>
          <w:color w:val="auto"/>
          <w:szCs w:val="21"/>
          <w:lang w:eastAsia="zh-CN"/>
        </w:rPr>
        <w:t>、</w:t>
      </w:r>
      <w:r>
        <w:rPr>
          <w:rFonts w:hint="eastAsia" w:ascii="宋体" w:hAnsi="宋体"/>
          <w:color w:val="auto"/>
          <w:szCs w:val="21"/>
          <w:lang w:val="en-US" w:eastAsia="zh-CN"/>
        </w:rPr>
        <w:t>王琦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p w14:paraId="4F0DFFC5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  <w:r>
        <w:rPr>
          <w:rFonts w:ascii="黑体" w:hAnsi="黑体" w:eastAsia="黑体"/>
          <w:bCs/>
          <w:color w:val="000000"/>
          <w:sz w:val="32"/>
          <w:szCs w:val="32"/>
          <w:highlight w:val="none"/>
        </w:rPr>
        <w:br w:type="page"/>
      </w:r>
    </w:p>
    <w:p w14:paraId="442B0C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</w:rPr>
        <w:t>中药材集采交易标准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 xml:space="preserve"> 三七</w:t>
      </w:r>
    </w:p>
    <w:p w14:paraId="1F97C193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1 范围</w:t>
      </w:r>
    </w:p>
    <w:p w14:paraId="75E42A3C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文山三七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集采的术语和定义、集采要求。</w:t>
      </w:r>
    </w:p>
    <w:p w14:paraId="7F321AC5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文山三七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的集采交易。</w:t>
      </w:r>
    </w:p>
    <w:p w14:paraId="40E7FBCC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2 规范性引用文件</w:t>
      </w:r>
    </w:p>
    <w:p w14:paraId="621D7345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3AE4F570">
      <w:pPr>
        <w:pStyle w:val="2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/>
        <w:textAlignment w:val="auto"/>
        <w:rPr>
          <w:rFonts w:hint="default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hAnsi="宋体" w:cs="宋体"/>
          <w:bCs/>
          <w:color w:val="000000"/>
          <w:sz w:val="21"/>
          <w:szCs w:val="21"/>
          <w:highlight w:val="none"/>
          <w:lang w:val="en-US" w:eastAsia="zh-CN"/>
        </w:rPr>
        <w:t>SB/T 11173-2016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《</w:t>
      </w:r>
      <w:r>
        <w:rPr>
          <w:rFonts w:hint="eastAsia" w:hAnsi="宋体" w:cs="宋体"/>
          <w:bCs/>
          <w:color w:val="000000"/>
          <w:sz w:val="21"/>
          <w:szCs w:val="21"/>
          <w:highlight w:val="none"/>
          <w:lang w:val="en-US" w:eastAsia="zh-CN"/>
        </w:rPr>
        <w:t>道地药材商品规格等级通则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》</w:t>
      </w:r>
    </w:p>
    <w:p w14:paraId="6F4B2F0F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T/ZGXCFZXH 0001.1-2024《中药材集采交易标准编制通则》</w:t>
      </w:r>
    </w:p>
    <w:p w14:paraId="420BB1EF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编制通则》</w:t>
      </w:r>
    </w:p>
    <w:p w14:paraId="3793E904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109-2019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《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道地药材 三七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》</w:t>
      </w:r>
    </w:p>
    <w:p w14:paraId="4A00CED8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ind w:leftChars="0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3 术语和定义</w:t>
      </w:r>
    </w:p>
    <w:p w14:paraId="77C29643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3.1 </w:t>
      </w:r>
    </w:p>
    <w:p w14:paraId="2985A233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三七</w:t>
      </w:r>
    </w:p>
    <w:p w14:paraId="604B3406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/>
        <w:ind w:firstLine="420" w:firstLineChars="200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五加科植物三七</w:t>
      </w:r>
      <w:r>
        <w:rPr>
          <w:rFonts w:hint="eastAsia" w:ascii="宋体" w:hAnsi="宋体" w:eastAsia="宋体" w:cs="宋体"/>
          <w:bCs/>
          <w:i/>
          <w:iCs/>
          <w:color w:val="000000"/>
          <w:kern w:val="0"/>
          <w:sz w:val="21"/>
          <w:szCs w:val="21"/>
          <w:highlight w:val="none"/>
          <w:lang w:val="en-US" w:eastAsia="zh-CN" w:bidi="ar-SA"/>
        </w:rPr>
        <w:t>Panax notoginseng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（Burk.）F.H.Chen的干燥根和根茎。秋季花开前采挖，洗净，分开主根、支根及根茎，干燥。支根习称“筋条”，根茎习称“剪口”。</w:t>
      </w:r>
    </w:p>
    <w:p w14:paraId="76302947">
      <w:pPr>
        <w:pStyle w:val="6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 集采要求</w:t>
      </w:r>
    </w:p>
    <w:p w14:paraId="7F1DBF07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4.1来源</w:t>
      </w:r>
    </w:p>
    <w:p w14:paraId="591B6079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4.1.1 基原</w:t>
      </w:r>
    </w:p>
    <w:p w14:paraId="1D57F034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五加科</w:t>
      </w:r>
      <w:r>
        <w:rPr>
          <w:rFonts w:hint="eastAsia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人参属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植物三七</w:t>
      </w:r>
      <w:r>
        <w:rPr>
          <w:rFonts w:hint="eastAsia" w:ascii="宋体" w:hAnsi="宋体" w:eastAsia="宋体" w:cs="宋体"/>
          <w:bCs/>
          <w:i/>
          <w:iCs/>
          <w:color w:val="000000"/>
          <w:kern w:val="0"/>
          <w:sz w:val="21"/>
          <w:szCs w:val="21"/>
          <w:highlight w:val="none"/>
          <w:lang w:val="en-US" w:eastAsia="zh-CN" w:bidi="ar-SA"/>
        </w:rPr>
        <w:t>Panax notoginseng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（Burk.）F.H.Chen</w:t>
      </w:r>
      <w:r>
        <w:rPr>
          <w:rFonts w:hint="eastAsia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。</w:t>
      </w:r>
    </w:p>
    <w:p w14:paraId="6E1C6470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4.1.2 药用部位</w:t>
      </w:r>
    </w:p>
    <w:p w14:paraId="7ED92E6E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eastAsia="宋体"/>
          <w:sz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干燥根和根茎</w:t>
      </w:r>
      <w:r>
        <w:rPr>
          <w:rFonts w:hint="eastAsia"/>
          <w:sz w:val="21"/>
          <w:highlight w:val="none"/>
          <w:lang w:eastAsia="zh-CN"/>
        </w:rPr>
        <w:t>。</w:t>
      </w:r>
    </w:p>
    <w:p w14:paraId="72C4EA02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4.1.3 产地</w:t>
      </w:r>
    </w:p>
    <w:p w14:paraId="244C975A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主产于云南文山州文山市、砚山县、马县关、西畴县、麻栗坡县、广南县、富宁县及其周边地区。</w:t>
      </w:r>
    </w:p>
    <w:p w14:paraId="677883D8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4.1.4 采收期</w:t>
      </w:r>
    </w:p>
    <w:p w14:paraId="594497A8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秋季花开前采挖。</w:t>
      </w:r>
    </w:p>
    <w:p w14:paraId="29773759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4.1.5 产地加工</w:t>
      </w:r>
    </w:p>
    <w:p w14:paraId="48ADAF89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采收的新鲜三七经拣选、修剪、清洗、干燥、分级、包装等产地加工过程。</w:t>
      </w:r>
    </w:p>
    <w:p w14:paraId="713031A4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 性状</w:t>
      </w:r>
    </w:p>
    <w:p w14:paraId="248C488B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ind w:firstLine="560"/>
        <w:jc w:val="both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见表1。</w:t>
      </w:r>
    </w:p>
    <w:p w14:paraId="57270E55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ind w:firstLine="560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表1  性状指标</w:t>
      </w: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480"/>
        <w:gridCol w:w="2480"/>
        <w:gridCol w:w="2481"/>
      </w:tblGrid>
      <w:tr w14:paraId="3971F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6CCD253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80" w:type="dxa"/>
            <w:vAlign w:val="center"/>
          </w:tcPr>
          <w:p w14:paraId="0C5E8EE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  <w:t>主根</w:t>
            </w:r>
          </w:p>
        </w:tc>
        <w:tc>
          <w:tcPr>
            <w:tcW w:w="2480" w:type="dxa"/>
            <w:vAlign w:val="center"/>
          </w:tcPr>
          <w:p w14:paraId="1CD8A84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  <w:t>筋条</w:t>
            </w:r>
          </w:p>
        </w:tc>
        <w:tc>
          <w:tcPr>
            <w:tcW w:w="2481" w:type="dxa"/>
            <w:vAlign w:val="center"/>
          </w:tcPr>
          <w:p w14:paraId="36E814F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  <w:t>剪口</w:t>
            </w:r>
          </w:p>
        </w:tc>
      </w:tr>
      <w:tr w14:paraId="38C7E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1737219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  <w:t>性状</w:t>
            </w:r>
          </w:p>
        </w:tc>
        <w:tc>
          <w:tcPr>
            <w:tcW w:w="2480" w:type="dxa"/>
            <w:vAlign w:val="center"/>
          </w:tcPr>
          <w:p w14:paraId="0C8E50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bCs w:val="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类圆锥形或圆柱形</w:t>
            </w:r>
          </w:p>
        </w:tc>
        <w:tc>
          <w:tcPr>
            <w:tcW w:w="2480" w:type="dxa"/>
            <w:vAlign w:val="center"/>
          </w:tcPr>
          <w:p w14:paraId="1B235FE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  <w:t>圆柱形或圆锥形</w:t>
            </w:r>
          </w:p>
        </w:tc>
        <w:tc>
          <w:tcPr>
            <w:tcW w:w="2481" w:type="dxa"/>
            <w:vAlign w:val="center"/>
          </w:tcPr>
          <w:p w14:paraId="321CD0B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  <w:t>不规则的皱缩块状或条状</w:t>
            </w:r>
          </w:p>
        </w:tc>
      </w:tr>
      <w:tr w14:paraId="2B060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087EC8D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  <w:t>大小</w:t>
            </w:r>
          </w:p>
        </w:tc>
        <w:tc>
          <w:tcPr>
            <w:tcW w:w="2480" w:type="dxa"/>
            <w:vAlign w:val="center"/>
          </w:tcPr>
          <w:p w14:paraId="327A55C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 xml:space="preserve">～6cm，直径 </w:t>
            </w:r>
            <w:r>
              <w:rPr>
                <w:rFonts w:hint="eastAsia" w:ascii="宋体" w:hAnsi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1</w:t>
            </w: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～</w:t>
            </w:r>
            <w:r>
              <w:rPr>
                <w:rFonts w:hint="eastAsia" w:ascii="宋体" w:hAnsi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cm</w:t>
            </w:r>
          </w:p>
        </w:tc>
        <w:tc>
          <w:tcPr>
            <w:tcW w:w="2480" w:type="dxa"/>
            <w:vAlign w:val="center"/>
          </w:tcPr>
          <w:p w14:paraId="1D70DCF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Times New Roman"/>
                <w:kern w:val="2"/>
                <w:sz w:val="18"/>
                <w:szCs w:val="18"/>
                <w:highlight w:val="none"/>
                <w:lang w:val="en-US" w:eastAsia="zh-CN" w:bidi="ar-SA"/>
              </w:rPr>
              <w:t>2～6cm，上端直径约0.8cm，下端直径约0.3cm</w:t>
            </w:r>
          </w:p>
        </w:tc>
        <w:tc>
          <w:tcPr>
            <w:tcW w:w="2481" w:type="dxa"/>
            <w:vAlign w:val="center"/>
          </w:tcPr>
          <w:p w14:paraId="0C950E51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1CCCD3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0314CDD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表面</w:t>
            </w:r>
          </w:p>
        </w:tc>
        <w:tc>
          <w:tcPr>
            <w:tcW w:w="2480" w:type="dxa"/>
            <w:vAlign w:val="center"/>
          </w:tcPr>
          <w:p w14:paraId="5454D3C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ascii="宋体" w:hAnsi="宋体" w:eastAsia="宋体"/>
                <w:bCs w:val="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灰褐色或灰黄色，有断续的纵皱纹和支根痕。顶端有茎痕，周围有瘤状突起。</w:t>
            </w:r>
          </w:p>
        </w:tc>
        <w:tc>
          <w:tcPr>
            <w:tcW w:w="2480" w:type="dxa"/>
            <w:vAlign w:val="center"/>
          </w:tcPr>
          <w:p w14:paraId="519FC1D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  <w:t>灰褐色或灰黄色</w:t>
            </w:r>
          </w:p>
        </w:tc>
        <w:tc>
          <w:tcPr>
            <w:tcW w:w="2481" w:type="dxa"/>
            <w:vAlign w:val="center"/>
          </w:tcPr>
          <w:p w14:paraId="7312150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auto"/>
              <w:rPr>
                <w:rFonts w:hint="eastAsia" w:eastAsia="宋体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有数个明显的茎痕及环纹。</w:t>
            </w:r>
          </w:p>
          <w:p w14:paraId="40FE676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</w:tr>
      <w:tr w14:paraId="644315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288DB4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断面</w:t>
            </w:r>
          </w:p>
        </w:tc>
        <w:tc>
          <w:tcPr>
            <w:tcW w:w="2480" w:type="dxa"/>
            <w:vAlign w:val="center"/>
          </w:tcPr>
          <w:p w14:paraId="54DB494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  <w:t>灰绿色、黄 绿色或灰白色，木部微呈放射状排列。</w:t>
            </w:r>
          </w:p>
        </w:tc>
        <w:tc>
          <w:tcPr>
            <w:tcW w:w="2480" w:type="dxa"/>
            <w:vAlign w:val="center"/>
          </w:tcPr>
          <w:p w14:paraId="3EB7D8E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481" w:type="dxa"/>
            <w:vAlign w:val="center"/>
          </w:tcPr>
          <w:p w14:paraId="7BF6059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  <w:t>中心灰绿色或白色，边缘深绿色或灰色。</w:t>
            </w:r>
          </w:p>
        </w:tc>
      </w:tr>
      <w:tr w14:paraId="2979A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480" w:type="dxa"/>
            <w:vAlign w:val="center"/>
          </w:tcPr>
          <w:p w14:paraId="25E6D6A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质地</w:t>
            </w:r>
          </w:p>
        </w:tc>
        <w:tc>
          <w:tcPr>
            <w:tcW w:w="7441" w:type="dxa"/>
            <w:gridSpan w:val="3"/>
            <w:vAlign w:val="center"/>
          </w:tcPr>
          <w:p w14:paraId="63D80F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体重，质坚实</w:t>
            </w:r>
          </w:p>
        </w:tc>
      </w:tr>
      <w:tr w14:paraId="2EF48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80" w:type="dxa"/>
            <w:vAlign w:val="center"/>
          </w:tcPr>
          <w:p w14:paraId="114AD1F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bCs w:val="0"/>
                <w:kern w:val="2"/>
                <w:sz w:val="18"/>
                <w:szCs w:val="18"/>
                <w:highlight w:val="none"/>
                <w:lang w:val="en-US" w:eastAsia="zh-CN"/>
              </w:rPr>
              <w:t>气味</w:t>
            </w:r>
          </w:p>
        </w:tc>
        <w:tc>
          <w:tcPr>
            <w:tcW w:w="7441" w:type="dxa"/>
            <w:gridSpan w:val="3"/>
            <w:vAlign w:val="center"/>
          </w:tcPr>
          <w:p w14:paraId="61C1675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/>
                <w:kern w:val="2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eastAsia="zh-CN"/>
              </w:rPr>
              <w:t>气微，味苦回甜</w:t>
            </w:r>
          </w:p>
        </w:tc>
      </w:tr>
    </w:tbl>
    <w:p w14:paraId="0CE96A5E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 鉴别</w:t>
      </w:r>
    </w:p>
    <w:p w14:paraId="618DBF9A">
      <w:pPr>
        <w:pStyle w:val="5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ind w:left="0" w:leftChars="0" w:firstLine="0" w:firstLineChars="0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 显微鉴别</w:t>
      </w:r>
    </w:p>
    <w:p w14:paraId="6AFFB56B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  <w:lang w:val="en-US" w:eastAsia="zh-CN"/>
        </w:rPr>
        <w:t>本品粉末灰黄色。淀粉粒甚多，单粒圆形、 半圆形或圆多角形，直径4～30μm；复粒由2～10余分粒组成。树脂道碎片含黄色分泌物。梯纹导管、网纹导管及螺纹导管直径15～55μm。草酸钙簇晶少见，直径50～80μm。</w:t>
      </w:r>
    </w:p>
    <w:p w14:paraId="37C01EB8">
      <w:pPr>
        <w:pStyle w:val="5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ind w:left="0" w:leftChars="0" w:firstLine="0" w:firstLineChars="0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4.3.2 薄层鉴别</w:t>
      </w:r>
    </w:p>
    <w:p w14:paraId="23013430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  <w:sz w:val="21"/>
          <w:highlight w:val="none"/>
          <w:lang w:val="en-US" w:eastAsia="zh-CN"/>
        </w:rPr>
      </w:pPr>
      <w:r>
        <w:rPr>
          <w:rFonts w:hint="eastAsia"/>
          <w:sz w:val="21"/>
          <w:highlight w:val="none"/>
        </w:rPr>
        <w:t>取本品粉末0.5g，加水5滴，搅匀，再加以水饱和的正丁醇5ml，密塞，振摇10分钟，放置2小时，离心，取上清液，加3倍量以正丁醇饱和的水，摇匀，放置使分层（必要时离心），取正丁醇层，蒸干，残渣加甲醇1ml使溶解，作为供试品溶液。另取人参皂苷Rb</w:t>
      </w:r>
      <w:r>
        <w:rPr>
          <w:rFonts w:hint="eastAsia"/>
          <w:sz w:val="21"/>
          <w:highlight w:val="none"/>
          <w:vertAlign w:val="subscript"/>
          <w:lang w:val="en-US" w:eastAsia="zh-CN"/>
        </w:rPr>
        <w:t>1</w:t>
      </w:r>
      <w:r>
        <w:rPr>
          <w:rFonts w:hint="eastAsia"/>
          <w:sz w:val="21"/>
          <w:highlight w:val="none"/>
        </w:rPr>
        <w:t>对照品、人参皂苷Re对照品、人参皂苷Rg</w:t>
      </w:r>
      <w:r>
        <w:rPr>
          <w:rFonts w:hint="eastAsia"/>
          <w:sz w:val="21"/>
          <w:highlight w:val="none"/>
          <w:vertAlign w:val="subscript"/>
          <w:lang w:val="en-US" w:eastAsia="zh-CN"/>
        </w:rPr>
        <w:t>1</w:t>
      </w:r>
      <w:r>
        <w:rPr>
          <w:rFonts w:hint="eastAsia"/>
          <w:sz w:val="21"/>
          <w:highlight w:val="none"/>
        </w:rPr>
        <w:t>对照品及三七皂苷R</w:t>
      </w:r>
      <w:r>
        <w:rPr>
          <w:rFonts w:hint="eastAsia"/>
          <w:sz w:val="21"/>
          <w:highlight w:val="none"/>
          <w:vertAlign w:val="subscript"/>
          <w:lang w:val="en-US" w:eastAsia="zh-CN"/>
        </w:rPr>
        <w:t>1</w:t>
      </w:r>
      <w:r>
        <w:rPr>
          <w:rFonts w:hint="eastAsia"/>
          <w:sz w:val="21"/>
          <w:highlight w:val="none"/>
        </w:rPr>
        <w:t>对照品，加甲醇制成每1ml各含0.5mg的混合溶液，作为对照品溶液。照薄层色谱法（通则0502）试验，吸取上述两种溶液各1μl，分别点于同一硅胶G薄层板上，以三氯甲烷-乙酸乙酯-甲醇-水（15∶40∶22∶10）10℃以下放置的下层溶液为展开剂，展开，取出，晾干，喷以硫酸溶液（1→10），在105℃加热至斑点显色清晰。供试品色谱中，在与对照品色谱相应的位置上，显相同颜色的斑点；置紫外光灯（365nm）下检视，显相同的荧光斑点。</w:t>
      </w:r>
    </w:p>
    <w:p w14:paraId="32DB61BE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4.4检查</w:t>
      </w:r>
    </w:p>
    <w:p w14:paraId="6C4AA3D6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4.4.1 水分</w:t>
      </w:r>
    </w:p>
    <w:p w14:paraId="4C48D994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highlight w:val="none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通则0832第二法，</w:t>
      </w:r>
      <w:r>
        <w:rPr>
          <w:rFonts w:hint="eastAsia"/>
          <w:sz w:val="21"/>
          <w:highlight w:val="none"/>
        </w:rPr>
        <w:t>不得过1</w:t>
      </w:r>
      <w:r>
        <w:rPr>
          <w:rFonts w:hint="eastAsia"/>
          <w:sz w:val="21"/>
          <w:highlight w:val="none"/>
          <w:lang w:val="en-US" w:eastAsia="zh-CN"/>
        </w:rPr>
        <w:t>4</w:t>
      </w:r>
      <w:r>
        <w:rPr>
          <w:rFonts w:hint="eastAsia"/>
          <w:sz w:val="21"/>
          <w:highlight w:val="none"/>
        </w:rPr>
        <w:t>.0%</w:t>
      </w:r>
      <w:r>
        <w:rPr>
          <w:sz w:val="21"/>
          <w:highlight w:val="none"/>
        </w:rPr>
        <w:t>。</w:t>
      </w:r>
    </w:p>
    <w:p w14:paraId="1F942154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color w:val="auto"/>
          <w:sz w:val="21"/>
          <w:szCs w:val="21"/>
          <w:highlight w:val="none"/>
        </w:rPr>
        <w:t>总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灰分</w:t>
      </w:r>
    </w:p>
    <w:p w14:paraId="0A629B6A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sz w:val="21"/>
          <w:highlight w:val="none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通则2302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法测定，</w:t>
      </w:r>
      <w:r>
        <w:rPr>
          <w:sz w:val="21"/>
          <w:highlight w:val="none"/>
        </w:rPr>
        <w:t>不得过</w:t>
      </w:r>
      <w:r>
        <w:rPr>
          <w:rFonts w:hint="eastAsia"/>
          <w:sz w:val="21"/>
          <w:highlight w:val="none"/>
          <w:lang w:val="en-US" w:eastAsia="zh-CN"/>
        </w:rPr>
        <w:t>6</w:t>
      </w:r>
      <w:r>
        <w:rPr>
          <w:sz w:val="21"/>
          <w:highlight w:val="none"/>
        </w:rPr>
        <w:t>.0%。</w:t>
      </w:r>
    </w:p>
    <w:p w14:paraId="6A709487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酸不溶性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灰分</w:t>
      </w:r>
    </w:p>
    <w:p w14:paraId="17DF5969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highlight w:val="none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通则2302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法测定，</w:t>
      </w:r>
      <w:r>
        <w:rPr>
          <w:rFonts w:hint="eastAsia"/>
          <w:sz w:val="21"/>
          <w:highlight w:val="none"/>
        </w:rPr>
        <w:t>不得过3.0%。</w:t>
      </w:r>
    </w:p>
    <w:p w14:paraId="410A47D8"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9"/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</w:pPr>
      <w:bookmarkStart w:id="21" w:name="_Toc5952"/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  <w:t>4.4.4 二氧化硫残留</w:t>
      </w:r>
      <w:bookmarkEnd w:id="21"/>
    </w:p>
    <w:p w14:paraId="4A467B4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通则2331二氧化硫残留量测定法测定，不得过150mg/kg。</w:t>
      </w:r>
    </w:p>
    <w:p w14:paraId="485D4933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5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浸出物</w:t>
      </w:r>
    </w:p>
    <w:p w14:paraId="7F6582AC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1"/>
          <w:highlight w:val="none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</w:t>
      </w:r>
      <w:r>
        <w:rPr>
          <w:rFonts w:hint="eastAsia" w:ascii="宋体" w:hAnsi="宋体" w:eastAsia="宋体" w:cs="Times New Roman"/>
          <w:bCs/>
          <w:color w:val="auto"/>
          <w:sz w:val="21"/>
          <w:szCs w:val="21"/>
          <w:lang w:val="en-US" w:eastAsia="zh-CN"/>
        </w:rPr>
        <w:t>2201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法测定，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醇溶性浸出物</w:t>
      </w:r>
      <w:r>
        <w:rPr>
          <w:rFonts w:hint="eastAsia"/>
          <w:sz w:val="21"/>
          <w:highlight w:val="none"/>
        </w:rPr>
        <w:t>不得少于16.0%。</w:t>
      </w:r>
    </w:p>
    <w:p w14:paraId="770138A9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4.6 安全性指标</w:t>
      </w:r>
    </w:p>
    <w:p w14:paraId="0096A420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见表2。</w:t>
      </w:r>
    </w:p>
    <w:p w14:paraId="068C0766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ind w:firstLine="560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表2  安全性指标</w:t>
      </w:r>
    </w:p>
    <w:tbl>
      <w:tblPr>
        <w:tblStyle w:val="12"/>
        <w:tblW w:w="498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918"/>
        <w:gridCol w:w="1783"/>
        <w:gridCol w:w="2568"/>
      </w:tblGrid>
      <w:tr w14:paraId="52221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Align w:val="center"/>
          </w:tcPr>
          <w:p w14:paraId="3E7D035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项目</w:t>
            </w:r>
          </w:p>
        </w:tc>
        <w:tc>
          <w:tcPr>
            <w:tcW w:w="1980" w:type="pct"/>
            <w:vAlign w:val="center"/>
          </w:tcPr>
          <w:p w14:paraId="1519B42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污染物</w:t>
            </w:r>
          </w:p>
        </w:tc>
        <w:tc>
          <w:tcPr>
            <w:tcW w:w="901" w:type="pct"/>
            <w:vAlign w:val="center"/>
          </w:tcPr>
          <w:p w14:paraId="6C91424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限量标准</w:t>
            </w:r>
          </w:p>
        </w:tc>
        <w:tc>
          <w:tcPr>
            <w:tcW w:w="1298" w:type="pct"/>
            <w:vAlign w:val="center"/>
          </w:tcPr>
          <w:p w14:paraId="030286F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检测方法</w:t>
            </w:r>
          </w:p>
        </w:tc>
      </w:tr>
      <w:tr w14:paraId="35377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restart"/>
            <w:vAlign w:val="center"/>
          </w:tcPr>
          <w:p w14:paraId="7DDD389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4A7EC4E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</w:p>
          <w:p w14:paraId="10E44D7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重金属及有害元素</w:t>
            </w:r>
          </w:p>
        </w:tc>
        <w:tc>
          <w:tcPr>
            <w:tcW w:w="1980" w:type="pct"/>
            <w:vAlign w:val="center"/>
          </w:tcPr>
          <w:p w14:paraId="16AAE9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铅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（Pb）/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 ≤</w:t>
            </w:r>
          </w:p>
        </w:tc>
        <w:tc>
          <w:tcPr>
            <w:tcW w:w="901" w:type="pct"/>
            <w:vAlign w:val="center"/>
          </w:tcPr>
          <w:p w14:paraId="3BEA8AB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8" w:type="pct"/>
            <w:vMerge w:val="restart"/>
            <w:vAlign w:val="center"/>
          </w:tcPr>
          <w:p w14:paraId="577BBD6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</w:p>
          <w:p w14:paraId="652C358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2020版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通则2321原子吸收分光光度法或电感耦合等离子体质谱法</w:t>
            </w:r>
          </w:p>
        </w:tc>
      </w:tr>
      <w:tr w14:paraId="7889A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4F99DFC6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pct"/>
            <w:vAlign w:val="center"/>
          </w:tcPr>
          <w:p w14:paraId="21F5651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镉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（Cd）/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 ≤</w:t>
            </w:r>
          </w:p>
        </w:tc>
        <w:tc>
          <w:tcPr>
            <w:tcW w:w="901" w:type="pct"/>
            <w:vAlign w:val="center"/>
          </w:tcPr>
          <w:p w14:paraId="2705ADE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298" w:type="pct"/>
            <w:vMerge w:val="continue"/>
            <w:vAlign w:val="center"/>
          </w:tcPr>
          <w:p w14:paraId="0EF318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0A75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116B340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pct"/>
            <w:vAlign w:val="center"/>
          </w:tcPr>
          <w:p w14:paraId="0AD71C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砷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（As）/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≤</w:t>
            </w:r>
          </w:p>
        </w:tc>
        <w:tc>
          <w:tcPr>
            <w:tcW w:w="901" w:type="pct"/>
            <w:vAlign w:val="center"/>
          </w:tcPr>
          <w:p w14:paraId="459968A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98" w:type="pct"/>
            <w:vMerge w:val="continue"/>
            <w:vAlign w:val="center"/>
          </w:tcPr>
          <w:p w14:paraId="17B1422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1837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67D713B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pct"/>
            <w:vAlign w:val="center"/>
          </w:tcPr>
          <w:p w14:paraId="4D9BFAA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汞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（Hg）/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≤</w:t>
            </w:r>
          </w:p>
        </w:tc>
        <w:tc>
          <w:tcPr>
            <w:tcW w:w="901" w:type="pct"/>
            <w:vAlign w:val="center"/>
          </w:tcPr>
          <w:p w14:paraId="2867DDF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0.2</w:t>
            </w:r>
          </w:p>
        </w:tc>
        <w:tc>
          <w:tcPr>
            <w:tcW w:w="1298" w:type="pct"/>
            <w:vMerge w:val="continue"/>
            <w:vAlign w:val="center"/>
          </w:tcPr>
          <w:p w14:paraId="0C71F17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7E77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71AA035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980" w:type="pct"/>
            <w:vAlign w:val="center"/>
          </w:tcPr>
          <w:p w14:paraId="731364A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铜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（Cu）/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≤</w:t>
            </w:r>
          </w:p>
        </w:tc>
        <w:tc>
          <w:tcPr>
            <w:tcW w:w="901" w:type="pct"/>
            <w:vAlign w:val="center"/>
          </w:tcPr>
          <w:p w14:paraId="79A0A897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  <w:t>20</w:t>
            </w:r>
          </w:p>
        </w:tc>
        <w:tc>
          <w:tcPr>
            <w:tcW w:w="1298" w:type="pct"/>
            <w:vMerge w:val="continue"/>
            <w:vAlign w:val="center"/>
          </w:tcPr>
          <w:p w14:paraId="450650F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4AFB5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restart"/>
            <w:vAlign w:val="center"/>
          </w:tcPr>
          <w:p w14:paraId="074358F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农药残留量</w:t>
            </w:r>
          </w:p>
        </w:tc>
        <w:tc>
          <w:tcPr>
            <w:tcW w:w="1980" w:type="pct"/>
            <w:vAlign w:val="center"/>
          </w:tcPr>
          <w:p w14:paraId="7AA51AB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阿维菌素Bla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2A02F555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0.1</w:t>
            </w:r>
          </w:p>
        </w:tc>
        <w:tc>
          <w:tcPr>
            <w:tcW w:w="1298" w:type="pct"/>
            <w:vAlign w:val="center"/>
          </w:tcPr>
          <w:p w14:paraId="03E7BA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28575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6CDEAB8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0ABF636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百菌清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     ≤</w:t>
            </w:r>
          </w:p>
        </w:tc>
        <w:tc>
          <w:tcPr>
            <w:tcW w:w="901" w:type="pct"/>
            <w:vAlign w:val="center"/>
          </w:tcPr>
          <w:p w14:paraId="06016E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98" w:type="pct"/>
            <w:vAlign w:val="center"/>
          </w:tcPr>
          <w:p w14:paraId="41D07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443B4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2829B04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0759D4D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苯醚甲环唑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1918DDC3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298" w:type="pct"/>
            <w:vAlign w:val="center"/>
          </w:tcPr>
          <w:p w14:paraId="4569DC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02B4C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6CD172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0824E3E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多菌灵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29DAAAF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98" w:type="pct"/>
            <w:vAlign w:val="center"/>
          </w:tcPr>
          <w:p w14:paraId="1158A9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597E6E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5C1A162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339ADBE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氟啶胺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552CE5B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298" w:type="pct"/>
            <w:vAlign w:val="center"/>
          </w:tcPr>
          <w:p w14:paraId="4AB074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50B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4ADE8E2B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476B5542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咯菌腈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7953E974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default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98" w:type="pct"/>
            <w:vAlign w:val="center"/>
          </w:tcPr>
          <w:p w14:paraId="1473E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2AB4A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5AC6569F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7F650FB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氯氟氰菊酯(异构体之和 )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1BDFB0EC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298" w:type="pct"/>
            <w:vAlign w:val="center"/>
          </w:tcPr>
          <w:p w14:paraId="718E52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5CF0F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819" w:type="pct"/>
            <w:vMerge w:val="continue"/>
            <w:vAlign w:val="center"/>
          </w:tcPr>
          <w:p w14:paraId="57E5D2AA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411C9D5D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戊唑醇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4E9093C8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98" w:type="pct"/>
            <w:vAlign w:val="center"/>
          </w:tcPr>
          <w:p w14:paraId="615FFF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  <w:tr w14:paraId="56C5F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9" w:type="pct"/>
            <w:vMerge w:val="continue"/>
            <w:vAlign w:val="center"/>
          </w:tcPr>
          <w:p w14:paraId="7D40B5EE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</w:p>
        </w:tc>
        <w:tc>
          <w:tcPr>
            <w:tcW w:w="1980" w:type="pct"/>
            <w:vAlign w:val="center"/>
          </w:tcPr>
          <w:p w14:paraId="306F7069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二硫代氨基甲酸盐(或酯)，以二硫化碳计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/</w:t>
            </w:r>
            <w:r>
              <w:rPr>
                <w:rFonts w:hint="default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mg/kg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 xml:space="preserve">   ≤</w:t>
            </w:r>
          </w:p>
        </w:tc>
        <w:tc>
          <w:tcPr>
            <w:tcW w:w="901" w:type="pct"/>
            <w:vAlign w:val="center"/>
          </w:tcPr>
          <w:p w14:paraId="4398D280"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98" w:type="pct"/>
            <w:vAlign w:val="center"/>
          </w:tcPr>
          <w:p w14:paraId="7DF0CC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  <w:t>《中华人民共和国药典》</w:t>
            </w:r>
          </w:p>
        </w:tc>
      </w:tr>
    </w:tbl>
    <w:p w14:paraId="58FE8741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4.7 含量</w:t>
      </w:r>
    </w:p>
    <w:p w14:paraId="46171BF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《中华人民共和国药典》2020年版通则0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5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高效液相色谱法测定，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按干燥品计算，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含人参皂苷Rg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（C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42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H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72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14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）、人参皂苷Rb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（C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54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H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92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23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）及三七皂苷R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（C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47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H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80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18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）的总量不得少于5.0%。</w:t>
      </w:r>
    </w:p>
    <w:p w14:paraId="6A8830A5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4.8 质量控制</w:t>
      </w:r>
    </w:p>
    <w:p w14:paraId="4D3630A7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4.8.1 可追溯</w:t>
      </w:r>
    </w:p>
    <w:p w14:paraId="39A15DD0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文山三七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集采交易药材应实现中药材生产全过程可追溯，并通过第三方溯源评价。</w:t>
      </w:r>
    </w:p>
    <w:p w14:paraId="6ABD72CB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4.8.2 </w:t>
      </w: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  <w:t>药材生产管理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规范</w:t>
      </w:r>
    </w:p>
    <w:p w14:paraId="65838F7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文山三七精品药材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应符合中药材GAP要求，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并通过GAP备案或延伸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审查通过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 w14:paraId="23159D41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4.8.3 道地药材</w:t>
      </w:r>
    </w:p>
    <w:p w14:paraId="5E934C02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文山三七精品药材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应符合道地药材要求，并通过第三方道地药材认证。</w:t>
      </w:r>
    </w:p>
    <w:p w14:paraId="0392B0C9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4.9 等级及集采要求</w:t>
      </w:r>
    </w:p>
    <w:p w14:paraId="16824A6D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文山三七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集采药材统货、选货、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3。</w:t>
      </w:r>
    </w:p>
    <w:tbl>
      <w:tblPr>
        <w:tblStyle w:val="11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800"/>
        <w:gridCol w:w="2324"/>
        <w:gridCol w:w="1700"/>
        <w:gridCol w:w="240"/>
        <w:gridCol w:w="1940"/>
      </w:tblGrid>
      <w:tr w14:paraId="13138E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B290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表3  文山三七集采交易标准 </w:t>
            </w:r>
          </w:p>
        </w:tc>
      </w:tr>
      <w:tr w14:paraId="12947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49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8D25D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10020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07835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3C3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17CB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2B4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4A9948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9D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来源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32F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基原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50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五加科植物三七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Panax notoginseng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（ Burk.）F. H. Chen</w:t>
            </w:r>
          </w:p>
        </w:tc>
      </w:tr>
      <w:tr w14:paraId="7BF20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893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376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0ACB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干燥根和根茎</w:t>
            </w:r>
          </w:p>
        </w:tc>
      </w:tr>
      <w:tr w14:paraId="6524B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333F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66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6F4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秋季花开前采挖</w:t>
            </w:r>
          </w:p>
        </w:tc>
      </w:tr>
      <w:tr w14:paraId="68EAC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F444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26E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93A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highlight w:val="none"/>
                <w:lang w:val="en-US" w:eastAsia="zh-CN"/>
              </w:rPr>
              <w:t>拣选、修剪、清洗、干燥、分级、包装</w:t>
            </w:r>
          </w:p>
        </w:tc>
      </w:tr>
      <w:tr w14:paraId="5ACB74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E0DC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A40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69193B"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云南文山州文山市、砚山县、马县关、西畴县、麻栗坡县、广南县、富宁县及其周边地区</w:t>
            </w:r>
          </w:p>
        </w:tc>
      </w:tr>
      <w:tr w14:paraId="09DA4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F60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E9E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采收年限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B1A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3年以上</w:t>
            </w:r>
          </w:p>
        </w:tc>
      </w:tr>
      <w:tr w14:paraId="17389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BE1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性状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67C8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03A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主根呈类圆锥形或圆柱形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；</w:t>
            </w:r>
          </w:p>
          <w:p w14:paraId="3D88BB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筋条呈圆柱形或圆锥形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；</w:t>
            </w:r>
          </w:p>
          <w:p w14:paraId="78C67E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剪口呈不规则的皱缩块状或条状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；</w:t>
            </w:r>
          </w:p>
        </w:tc>
      </w:tr>
      <w:tr w14:paraId="7964C5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8B6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EE57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大小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912E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每500g在450头内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E5E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每500g在60头内，长度≤4cm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E18B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每500g在30头内，长度≤6cm</w:t>
            </w:r>
          </w:p>
        </w:tc>
      </w:tr>
      <w:tr w14:paraId="3564A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3C95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92B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1AE9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主根表面灰褐色或灰黄色，有断续的纵皱纹和支根痕。顶端有茎痕，周围有瘤状突起；剪口表面有数个明显的茎痕及环纹</w:t>
            </w:r>
          </w:p>
        </w:tc>
      </w:tr>
      <w:tr w14:paraId="1ADCA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26F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D8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断面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306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主根断面灰绿色、黄 绿色或灰白色，木部微呈放射状排列；剪口断面中心灰绿色或白色，边缘深绿色或灰色</w:t>
            </w:r>
          </w:p>
        </w:tc>
      </w:tr>
      <w:tr w14:paraId="411C1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E92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60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E8A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体重，质坚实</w:t>
            </w:r>
          </w:p>
        </w:tc>
      </w:tr>
      <w:tr w14:paraId="33ADD4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5C3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D413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气味</w:t>
            </w:r>
          </w:p>
        </w:tc>
        <w:tc>
          <w:tcPr>
            <w:tcW w:w="6204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FCA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气微，味苦回甜</w:t>
            </w:r>
          </w:p>
        </w:tc>
      </w:tr>
      <w:tr w14:paraId="1D00F7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C7C5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AC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显微鉴别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2B41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本品粉末灰黄色。淀粉粒甚多，单粒圆形、 半圆形或圆多角形，直径4～30μm；复粒由2～10余分粒组成。树脂道碎片含黄色分泌物。梯纹导管、网纹导管及螺纹导管直径15～55μm。草酸钙簇晶少见，直径50～80μm</w:t>
            </w:r>
          </w:p>
        </w:tc>
      </w:tr>
      <w:tr w14:paraId="14D676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B33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4808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薄层鉴别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A500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取本品粉末0.5g，加水5滴，搅匀，再加以水饱和的正丁醇5ml，密塞，振摇10分钟，放置2小时，离心，取上清液，加3倍量以正丁醇饱和的水，摇匀，放置使分层（必要时离心），取正丁醇层，蒸干，残渣加甲醇1ml使溶解，作为供试品溶液。另取人参皂苷Rb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对照品、人参皂苷Re对照品、人参皂苷Rg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对照品及三七皂苷R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对照品，加甲醇制成每1ml 各含0.5mg的混合溶液，作为对照品溶液。照薄层色谱法 （通则0502）试验，吸取上述两种溶液各1μl，分别点于同一硅 胶G薄层板上，以三氯甲烷-乙酸乙酯-甲醇-水（15∶40∶22∶10）10℃以下放置的下层溶液为展开剂，展开，取出，晾 干，喷以硫酸溶液（1→10），在105℃加热至斑点显色清晰。供试品色谱中，在与对照品色谱相应的位置上，显相同颜色的斑点；置紫外光灯（365nm）下检视，显相同的荧光斑点</w:t>
            </w:r>
          </w:p>
        </w:tc>
      </w:tr>
      <w:tr w14:paraId="42F62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AEE1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检查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550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1E08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不得过1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.0%</w:t>
            </w:r>
          </w:p>
        </w:tc>
      </w:tr>
      <w:tr w14:paraId="27D8A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BAAE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4FCB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总灰分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CB3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.0%</w:t>
            </w:r>
          </w:p>
        </w:tc>
      </w:tr>
      <w:tr w14:paraId="123B4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AEE9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90C1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酸不溶性灰分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4853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.0%</w:t>
            </w:r>
          </w:p>
        </w:tc>
      </w:tr>
      <w:tr w14:paraId="40082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DB5B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AF0E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浸出物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B5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16.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0%</w:t>
            </w:r>
          </w:p>
        </w:tc>
      </w:tr>
      <w:tr w14:paraId="575323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98E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47A0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二氧化硫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6DAF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≤150mg/kg</w:t>
            </w:r>
          </w:p>
        </w:tc>
      </w:tr>
      <w:tr w14:paraId="4E93F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69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FD63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BA6D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农药残留*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1DF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《中华人民共和国药典》2020年版通则0212中列出的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禁用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农药残留不得检出</w:t>
            </w:r>
          </w:p>
        </w:tc>
      </w:tr>
      <w:tr w14:paraId="6EB2B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3AB510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84FC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残留*</w:t>
            </w:r>
          </w:p>
        </w:tc>
        <w:tc>
          <w:tcPr>
            <w:tcW w:w="62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A9F8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铅不得过5mg/kg；镉不得过1mg/kg；砷不得过2mg/kg；汞不得过0.2mg/kg；铜不得过20mg/kg</w:t>
            </w:r>
          </w:p>
        </w:tc>
      </w:tr>
      <w:tr w14:paraId="0D6B3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EF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含量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BC2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人参皂苷Rg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72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</w:t>
            </w:r>
          </w:p>
        </w:tc>
        <w:tc>
          <w:tcPr>
            <w:tcW w:w="6204" w:type="dxa"/>
            <w:gridSpan w:val="4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E25E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按干燥品计算，含人参皂苷Rg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42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72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）、人参皂苷Rb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92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）及三七皂苷R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47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）的总量不得少于5.0%。</w:t>
            </w:r>
          </w:p>
        </w:tc>
      </w:tr>
      <w:tr w14:paraId="636ED3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2F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DF30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人参皂苷Rb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54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92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</w:t>
            </w:r>
          </w:p>
        </w:tc>
        <w:tc>
          <w:tcPr>
            <w:tcW w:w="6204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EE6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 w14:paraId="0CF6B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8A36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05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三七皂苷R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47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80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vertAlign w:val="subscript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）</w:t>
            </w:r>
          </w:p>
        </w:tc>
        <w:tc>
          <w:tcPr>
            <w:tcW w:w="6204" w:type="dxa"/>
            <w:gridSpan w:val="4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026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 w14:paraId="3FBD68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1C41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AF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620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A4DC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1836F6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355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E349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4E29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147C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24C0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GAP备案或延伸审查通过</w:t>
            </w:r>
          </w:p>
        </w:tc>
      </w:tr>
      <w:tr w14:paraId="3E2148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6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0957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AC48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23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658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EE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3BD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5D71FD8E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  <w:br w:type="page"/>
      </w:r>
    </w:p>
    <w:p w14:paraId="1EB5999D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附录A</w:t>
      </w:r>
    </w:p>
    <w:p w14:paraId="54E66975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（规范性附录）</w:t>
      </w:r>
    </w:p>
    <w:p w14:paraId="7423C9FA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文山三七集采交易规格等级性状图</w:t>
      </w:r>
    </w:p>
    <w:p w14:paraId="0941D841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ind w:firstLine="1440" w:firstLineChars="800"/>
        <w:jc w:val="both"/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eastAsia="zh-CN"/>
        </w:rPr>
        <w:drawing>
          <wp:inline distT="0" distB="0" distL="114300" distR="114300">
            <wp:extent cx="4319905" cy="3559810"/>
            <wp:effectExtent l="0" t="0" r="10795" b="8890"/>
            <wp:docPr id="9" name="图片 9" descr="96-三七-6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6-三七-6.8"/>
                    <pic:cNvPicPr>
                      <a:picLocks noChangeAspect="1"/>
                    </pic:cNvPicPr>
                  </pic:nvPicPr>
                  <pic:blipFill>
                    <a:blip r:embed="rId15"/>
                    <a:srcRect l="2558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1C4671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ind w:firstLine="1440" w:firstLineChars="800"/>
        <w:jc w:val="both"/>
        <w:rPr>
          <w:rFonts w:hint="eastAsia" w:ascii="宋体" w:hAnsi="宋体" w:eastAsia="宋体" w:cs="宋体"/>
          <w:bCs/>
          <w:color w:val="000000"/>
          <w:sz w:val="18"/>
          <w:szCs w:val="18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val="en-US" w:eastAsia="zh-CN"/>
        </w:rPr>
        <w:t>注</w:t>
      </w:r>
      <w:r>
        <w:rPr>
          <w:rFonts w:hint="eastAsia" w:ascii="宋体" w:hAnsi="宋体" w:cs="宋体"/>
          <w:strike w:val="0"/>
          <w:color w:val="000000"/>
          <w:szCs w:val="18"/>
          <w:highlight w:val="none"/>
          <w:lang w:val="en-US" w:eastAsia="zh-CN"/>
        </w:rPr>
        <w:t>：</w:t>
      </w: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val="en-US" w:eastAsia="zh-CN"/>
        </w:rPr>
        <w:t>A-18头</w:t>
      </w:r>
      <w:r>
        <w:rPr>
          <w:rFonts w:hint="eastAsia" w:ascii="宋体" w:hAnsi="宋体" w:cs="宋体"/>
          <w:strike w:val="0"/>
          <w:color w:val="000000"/>
          <w:szCs w:val="1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val="en-US" w:eastAsia="zh-CN"/>
        </w:rPr>
        <w:t>B-36头</w:t>
      </w:r>
      <w:r>
        <w:rPr>
          <w:rFonts w:hint="eastAsia" w:ascii="宋体" w:hAnsi="宋体" w:cs="宋体"/>
          <w:strike w:val="0"/>
          <w:color w:val="000000"/>
          <w:szCs w:val="1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val="en-US" w:eastAsia="zh-CN"/>
        </w:rPr>
        <w:t>C-</w:t>
      </w:r>
      <w:r>
        <w:rPr>
          <w:rFonts w:hint="eastAsia" w:ascii="宋体" w:hAnsi="宋体" w:cs="宋体"/>
          <w:strike w:val="0"/>
          <w:color w:val="000000"/>
          <w:szCs w:val="18"/>
          <w:highlight w:val="none"/>
          <w:lang w:val="en-US" w:eastAsia="zh-CN"/>
        </w:rPr>
        <w:t>6</w:t>
      </w:r>
      <w:r>
        <w:rPr>
          <w:rFonts w:hint="eastAsia" w:ascii="宋体" w:hAnsi="宋体" w:eastAsia="宋体" w:cs="宋体"/>
          <w:strike w:val="0"/>
          <w:color w:val="000000"/>
          <w:szCs w:val="18"/>
          <w:highlight w:val="none"/>
          <w:lang w:val="en-US" w:eastAsia="zh-CN"/>
        </w:rPr>
        <w:t>0头</w:t>
      </w:r>
      <w:r>
        <w:rPr>
          <w:rFonts w:hint="eastAsia" w:ascii="宋体" w:hAnsi="宋体" w:cs="宋体"/>
          <w:strike w:val="0"/>
          <w:color w:val="000000"/>
          <w:szCs w:val="18"/>
          <w:highlight w:val="none"/>
          <w:lang w:val="en-US" w:eastAsia="zh-CN"/>
        </w:rPr>
        <w:t>。</w:t>
      </w:r>
    </w:p>
    <w:p w14:paraId="646E8D64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图A1 文山三七药材规格等级性状图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</w:rPr>
        <w:t xml:space="preserve"> </w:t>
      </w:r>
    </w:p>
    <w:p w14:paraId="6B89478F">
      <w:pPr>
        <w:pStyle w:val="6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</w:p>
    <w:bookmarkEnd w:id="20"/>
    <w:p w14:paraId="10A45C9B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ascii="黑体" w:hAnsi="黑体" w:eastAsia="黑体"/>
          <w:strike/>
          <w:color w:val="000000"/>
          <w:szCs w:val="21"/>
          <w:highlight w:val="none"/>
        </w:rPr>
      </w:pPr>
      <w:bookmarkStart w:id="22" w:name="_Toc29162"/>
      <w:bookmarkStart w:id="23" w:name="_Toc23232"/>
      <w:bookmarkStart w:id="24" w:name="_Toc5990"/>
      <w:bookmarkStart w:id="25" w:name="_Toc5517"/>
      <w:bookmarkStart w:id="26" w:name="_Toc25235"/>
      <w:bookmarkStart w:id="27" w:name="_Toc17181"/>
      <w:bookmarkStart w:id="28" w:name="_Toc501701529"/>
    </w:p>
    <w:p w14:paraId="44CC7C91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</w:pPr>
    </w:p>
    <w:bookmarkEnd w:id="22"/>
    <w:bookmarkEnd w:id="23"/>
    <w:bookmarkEnd w:id="24"/>
    <w:bookmarkEnd w:id="25"/>
    <w:bookmarkEnd w:id="26"/>
    <w:bookmarkEnd w:id="27"/>
    <w:p w14:paraId="4C690154">
      <w:pPr>
        <w:pStyle w:val="5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 w:line="360" w:lineRule="auto"/>
        <w:ind w:left="0" w:firstLine="560" w:firstLineChars="200"/>
        <w:rPr>
          <w:rFonts w:ascii="Times New Roman" w:hAnsi="Times New Roman" w:eastAsia="Times New Roman"/>
          <w:strike/>
          <w:highlight w:val="none"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8"/>
    <w:p w14:paraId="21D5A0AD">
      <w:pPr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ascii="黑体" w:hAnsi="黑体" w:eastAsia="黑体" w:cs="宋体"/>
          <w:szCs w:val="21"/>
          <w:highlight w:val="none"/>
        </w:rPr>
      </w:pPr>
      <w:bookmarkStart w:id="29" w:name="_Toc7443"/>
      <w:bookmarkStart w:id="30" w:name="_Toc9701"/>
      <w:bookmarkStart w:id="31" w:name="_Toc26118"/>
      <w:bookmarkStart w:id="32" w:name="_Toc15722"/>
      <w:bookmarkStart w:id="33" w:name="_Toc16858"/>
      <w:bookmarkStart w:id="34" w:name="_Toc25047693"/>
      <w:bookmarkStart w:id="35" w:name="_Toc27406"/>
      <w:bookmarkStart w:id="36" w:name="_Toc30293"/>
      <w:r>
        <w:rPr>
          <w:rFonts w:hint="eastAsia" w:ascii="黑体" w:hAnsi="黑体" w:eastAsia="黑体" w:cs="宋体"/>
          <w:szCs w:val="21"/>
          <w:highlight w:val="none"/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0269DEB7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[1] 世界中医药学会联合会.</w:t>
      </w:r>
      <w:r>
        <w:rPr>
          <w:rFonts w:hint="eastAsia" w:ascii="宋体" w:hAnsi="宋体"/>
          <w:color w:val="auto"/>
          <w:lang w:val="en-US" w:eastAsia="zh-CN"/>
        </w:rPr>
        <w:t xml:space="preserve"> </w:t>
      </w:r>
      <w:r>
        <w:rPr>
          <w:rFonts w:hint="eastAsia" w:ascii="宋体" w:hAnsi="宋体"/>
          <w:color w:val="auto"/>
        </w:rPr>
        <w:t>中华人民共和国中医药法[M]. 北京: 人民卫生出版社, 2017.</w:t>
      </w:r>
    </w:p>
    <w:p w14:paraId="04308CB8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[2] 国家药典委员会. 中华人民共和国药典: 一部[M]. 北京: 中国医药科技出版社, 2020.</w:t>
      </w:r>
    </w:p>
    <w:p w14:paraId="3AD49E0E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[3] 中华中医药学会. 中药材商品规格等级. 北京: 中国医药科技出版社, 2018.</w:t>
      </w:r>
    </w:p>
    <w:p w14:paraId="7207D237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[4] 彭成. 中华道地药材[M]. 中国中医药出版社, 2013.</w:t>
      </w:r>
    </w:p>
    <w:p w14:paraId="07450241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[5] 肖小河，黄璐琦. 中药材商品规格标准化研究[M]. 人民卫生出版社, 2016.</w:t>
      </w:r>
    </w:p>
    <w:p w14:paraId="6303F6A1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[6] 黄璐琦，詹志来，郭兰萍. 中药材商品规格等级标准汇编[M]. 中国中医药出版社, 2019.</w:t>
      </w:r>
    </w:p>
    <w:p w14:paraId="44A15073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[7] 黄璐琦. 道地药材品质保障技术研究[M]. 上海科学技术出版社, 2017.</w:t>
      </w:r>
    </w:p>
    <w:p w14:paraId="219650DA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/>
          <w:color w:val="auto"/>
        </w:rPr>
        <w:t>[8] 黄璐琦，姚霞. 新编中国药材学: 第二卷[M]. 中国医药科技出版社, 2020.</w:t>
      </w:r>
      <w:r>
        <w:rPr>
          <w:rFonts w:hint="eastAsia" w:ascii="宋体" w:hAnsi="宋体"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8480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63896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highlight w:val="none"/>
        </w:rPr>
      </w:pPr>
    </w:p>
    <w:p w14:paraId="120D782C">
      <w:pPr>
        <w:pageBreakBefore w:val="0"/>
        <w:tabs>
          <w:tab w:val="left" w:pos="6408"/>
        </w:tabs>
        <w:kinsoku/>
        <w:wordWrap/>
        <w:overflowPunct/>
        <w:topLinePunct w:val="0"/>
        <w:bidi w:val="0"/>
        <w:adjustRightInd/>
        <w:spacing w:before="157" w:beforeLines="50" w:after="157" w:afterLines="50"/>
        <w:jc w:val="left"/>
        <w:rPr>
          <w:highlight w:val="none"/>
        </w:rPr>
      </w:pPr>
      <w:r>
        <w:rPr>
          <w:rFonts w:hint="eastAsia"/>
          <w:highlight w:val="none"/>
        </w:rPr>
        <w:tab/>
      </w:r>
    </w:p>
    <w:p w14:paraId="3ABE44B8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highlight w:val="none"/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7B84E">
    <w:pPr>
      <w:pStyle w:val="6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33180D27">
    <w:pPr>
      <w:pStyle w:val="6"/>
      <w:ind w:left="-283" w:leftChars="-135"/>
      <w:jc w:val="right"/>
    </w:pPr>
  </w:p>
  <w:p w14:paraId="2B2068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400CF7">
    <w:pPr>
      <w:pStyle w:val="6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40C48DA9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313485">
    <w:pPr>
      <w:pStyle w:val="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D78F95">
    <w:pPr>
      <w:pStyle w:val="6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044EC290">
    <w:pPr>
      <w:pStyle w:val="6"/>
      <w:ind w:left="-283" w:leftChars="-135"/>
      <w:jc w:val="right"/>
    </w:pPr>
  </w:p>
  <w:p w14:paraId="3E355A4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1B877C">
    <w:pPr>
      <w:pStyle w:val="6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6FEAEA07">
    <w:pPr>
      <w:pStyle w:val="6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BF72F6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9D3472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9D3472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107F09DA">
        <w:pPr>
          <w:pStyle w:val="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371D2D0F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997B54">
    <w:pPr>
      <w:pStyle w:val="21"/>
      <w:rPr>
        <w:rFonts w:hint="eastAsia" w:ascii="黑体" w:hAnsi="黑体" w:eastAsia="黑体"/>
        <w:sz w:val="21"/>
        <w:szCs w:val="21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E8EF96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BE8EF96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 xml:space="preserve">RB </w:t>
    </w:r>
    <w:r>
      <w:rPr>
        <w:rFonts w:hint="eastAsia" w:ascii="黑体" w:hAnsi="黑体" w:eastAsia="黑体"/>
        <w:sz w:val="21"/>
        <w:szCs w:val="21"/>
        <w:lang w:eastAsia="zh-CN"/>
      </w:rPr>
      <w:t>石斛石斛</w:t>
    </w:r>
    <w:r>
      <w:rPr>
        <w:rFonts w:ascii="黑体" w:hAnsi="黑体" w:eastAsia="黑体"/>
        <w:sz w:val="21"/>
        <w:szCs w:val="21"/>
      </w:rPr>
      <w:t>X—</w:t>
    </w:r>
    <w:r>
      <w:rPr>
        <w:rFonts w:hint="eastAsia" w:ascii="黑体" w:hAnsi="黑体" w:eastAsia="黑体"/>
        <w:sz w:val="21"/>
        <w:szCs w:val="21"/>
        <w:lang w:eastAsia="zh-CN"/>
      </w:rPr>
      <w:t>石斛石斛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E0B4C0">
    <w:pPr>
      <w:pStyle w:val="7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25</w:t>
    </w:r>
    <w:r>
      <w:rPr>
        <w:rFonts w:hint="eastAsia" w:ascii="黑体" w:hAnsi="黑体" w:eastAsia="黑体"/>
        <w:sz w:val="21"/>
        <w:szCs w:val="21"/>
        <w:lang w:val="en-US" w:eastAsia="zh-CN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6C4223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E9C9610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E9C9610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64A6D0">
    <w:pPr>
      <w:pStyle w:val="7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25</w:t>
    </w:r>
    <w:r>
      <w:rPr>
        <w:rFonts w:hint="eastAsia" w:ascii="黑体" w:hAnsi="黑体" w:eastAsia="黑体"/>
        <w:sz w:val="21"/>
        <w:szCs w:val="21"/>
        <w:lang w:val="en-US" w:eastAsia="zh-CN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23F71D3"/>
    <w:rsid w:val="057C19CF"/>
    <w:rsid w:val="059122C1"/>
    <w:rsid w:val="07D478A0"/>
    <w:rsid w:val="08161C67"/>
    <w:rsid w:val="084131B3"/>
    <w:rsid w:val="09CB032D"/>
    <w:rsid w:val="0B1E1DB7"/>
    <w:rsid w:val="0C7C686C"/>
    <w:rsid w:val="0D54535C"/>
    <w:rsid w:val="0D564623"/>
    <w:rsid w:val="0DBC147F"/>
    <w:rsid w:val="0EFD2A55"/>
    <w:rsid w:val="12492C39"/>
    <w:rsid w:val="126A32DB"/>
    <w:rsid w:val="15031585"/>
    <w:rsid w:val="159364F1"/>
    <w:rsid w:val="15B2766E"/>
    <w:rsid w:val="17772A4F"/>
    <w:rsid w:val="186662F2"/>
    <w:rsid w:val="18AF0625"/>
    <w:rsid w:val="1A7A7A3E"/>
    <w:rsid w:val="1B581F69"/>
    <w:rsid w:val="1B5A68E3"/>
    <w:rsid w:val="1B78507E"/>
    <w:rsid w:val="1C8675B7"/>
    <w:rsid w:val="1DFC3A27"/>
    <w:rsid w:val="1E861C86"/>
    <w:rsid w:val="20572D0F"/>
    <w:rsid w:val="22335613"/>
    <w:rsid w:val="23492C57"/>
    <w:rsid w:val="23B01609"/>
    <w:rsid w:val="28550131"/>
    <w:rsid w:val="2A4B1F99"/>
    <w:rsid w:val="2A753B73"/>
    <w:rsid w:val="2F996B56"/>
    <w:rsid w:val="3152118F"/>
    <w:rsid w:val="315E1E05"/>
    <w:rsid w:val="33B35CF6"/>
    <w:rsid w:val="34D75AC5"/>
    <w:rsid w:val="35AF249F"/>
    <w:rsid w:val="38655D5F"/>
    <w:rsid w:val="38B267FB"/>
    <w:rsid w:val="39455658"/>
    <w:rsid w:val="398E66CE"/>
    <w:rsid w:val="3A2442FB"/>
    <w:rsid w:val="3DEE09B8"/>
    <w:rsid w:val="3E6B1D6D"/>
    <w:rsid w:val="41D2735A"/>
    <w:rsid w:val="42C955B0"/>
    <w:rsid w:val="46566D64"/>
    <w:rsid w:val="474451A1"/>
    <w:rsid w:val="47AE6527"/>
    <w:rsid w:val="47F22674"/>
    <w:rsid w:val="4A7B2700"/>
    <w:rsid w:val="4C706966"/>
    <w:rsid w:val="4E1C64F6"/>
    <w:rsid w:val="4E4B6454"/>
    <w:rsid w:val="4F145070"/>
    <w:rsid w:val="4F920108"/>
    <w:rsid w:val="5073598C"/>
    <w:rsid w:val="514D4962"/>
    <w:rsid w:val="522A30F1"/>
    <w:rsid w:val="524467E0"/>
    <w:rsid w:val="52F63E50"/>
    <w:rsid w:val="54012020"/>
    <w:rsid w:val="54212AF2"/>
    <w:rsid w:val="54502464"/>
    <w:rsid w:val="554149BF"/>
    <w:rsid w:val="556B21D1"/>
    <w:rsid w:val="55833ADA"/>
    <w:rsid w:val="56121E41"/>
    <w:rsid w:val="595A2602"/>
    <w:rsid w:val="5ABA7899"/>
    <w:rsid w:val="5B4C4063"/>
    <w:rsid w:val="5D2772AB"/>
    <w:rsid w:val="5D2D6150"/>
    <w:rsid w:val="5EEF0EA9"/>
    <w:rsid w:val="5F8A1E93"/>
    <w:rsid w:val="61CE3B78"/>
    <w:rsid w:val="62AA09C4"/>
    <w:rsid w:val="65B72C59"/>
    <w:rsid w:val="65F657F1"/>
    <w:rsid w:val="6655667C"/>
    <w:rsid w:val="67E4410B"/>
    <w:rsid w:val="680452AA"/>
    <w:rsid w:val="68600824"/>
    <w:rsid w:val="6FED0DBF"/>
    <w:rsid w:val="7084709D"/>
    <w:rsid w:val="712A66B5"/>
    <w:rsid w:val="716878D8"/>
    <w:rsid w:val="71A6711A"/>
    <w:rsid w:val="71D36D7A"/>
    <w:rsid w:val="746F2FAE"/>
    <w:rsid w:val="75917CDD"/>
    <w:rsid w:val="75C90F16"/>
    <w:rsid w:val="76031347"/>
    <w:rsid w:val="76EC75C5"/>
    <w:rsid w:val="78FC11DC"/>
    <w:rsid w:val="7AD165BA"/>
    <w:rsid w:val="7D052701"/>
    <w:rsid w:val="7D624A4B"/>
    <w:rsid w:val="7D967F37"/>
    <w:rsid w:val="7E2474A5"/>
    <w:rsid w:val="7EE16AB0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0"/>
      </w:numPr>
      <w:spacing w:before="100" w:beforeLines="100" w:beforeAutospacing="0" w:after="100" w:afterLines="100" w:afterAutospacing="0" w:line="240" w:lineRule="auto"/>
      <w:ind w:left="0" w:firstLine="0"/>
      <w:outlineLvl w:val="0"/>
    </w:pPr>
    <w:rPr>
      <w:rFonts w:ascii="黑体" w:hAnsi="黑体" w:eastAsia="黑体"/>
      <w:kern w:val="44"/>
      <w:sz w:val="28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qFormat/>
    <w:uiPriority w:val="0"/>
    <w:pPr>
      <w:jc w:val="left"/>
    </w:pPr>
  </w:style>
  <w:style w:type="paragraph" w:styleId="5">
    <w:name w:val="Body Text"/>
    <w:basedOn w:val="1"/>
    <w:autoRedefine/>
    <w:qFormat/>
    <w:uiPriority w:val="1"/>
    <w:pPr>
      <w:ind w:left="0" w:firstLine="420" w:firstLineChars="200"/>
    </w:pPr>
    <w:rPr>
      <w:rFonts w:ascii="宋体" w:hAnsi="宋体"/>
      <w:sz w:val="28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7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qFormat/>
    <w:uiPriority w:val="39"/>
  </w:style>
  <w:style w:type="paragraph" w:styleId="9">
    <w:name w:val="toc 2"/>
    <w:basedOn w:val="1"/>
    <w:next w:val="1"/>
    <w:autoRedefine/>
    <w:qFormat/>
    <w:uiPriority w:val="39"/>
    <w:pPr>
      <w:ind w:left="420" w:leftChars="200"/>
    </w:pPr>
  </w:style>
  <w:style w:type="paragraph" w:styleId="10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5">
    <w:name w:val="实施日期"/>
    <w:basedOn w:val="16"/>
    <w:autoRedefine/>
    <w:qFormat/>
    <w:uiPriority w:val="0"/>
    <w:pPr>
      <w:framePr w:wrap="around" w:vAnchor="page" w:hAnchor="text"/>
      <w:jc w:val="right"/>
    </w:pPr>
  </w:style>
  <w:style w:type="paragraph" w:customStyle="1" w:styleId="1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7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1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23">
    <w:name w:val="标准文件_段"/>
    <w:autoRedefine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2012</Words>
  <Characters>2532</Characters>
  <Lines>0</Lines>
  <Paragraphs>0</Paragraphs>
  <TotalTime>0</TotalTime>
  <ScaleCrop>false</ScaleCrop>
  <LinksUpToDate>false</LinksUpToDate>
  <CharactersWithSpaces>2658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18B0EEA1F0684CDB9A414D0273664C3A_13</vt:lpwstr>
  </property>
</Properties>
</file>