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006C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592407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01A60A30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22B9E1ED">
                            <w:pPr>
                              <w:pStyle w:val="16"/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7592407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01A60A30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22B9E1ED">
                      <w:pPr>
                        <w:pStyle w:val="16"/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32A53C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5D1BAF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57A430">
                            <w:pPr>
                              <w:pStyle w:val="16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457A430">
                      <w:pPr>
                        <w:pStyle w:val="16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4ADC60">
                            <w:pPr>
                              <w:pStyle w:val="17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44ADC60">
                      <w:pPr>
                        <w:pStyle w:val="17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529FED">
                            <w:pPr>
                              <w:pStyle w:val="18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.5-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2024</w:t>
                            </w:r>
                          </w:p>
                          <w:p w14:paraId="7535AAEC">
                            <w:pPr>
                              <w:pStyle w:val="18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8529FED">
                      <w:pPr>
                        <w:pStyle w:val="18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.5-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2024</w:t>
                      </w:r>
                    </w:p>
                    <w:p w14:paraId="7535AAEC">
                      <w:pPr>
                        <w:pStyle w:val="18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140FD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药材集采交易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浙贝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C65998C">
                            <w:pPr>
                              <w:pStyle w:val="13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C65998C">
                      <w:pPr>
                        <w:pStyle w:val="13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母</w:t>
      </w:r>
    </w:p>
    <w:p w14:paraId="5488639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4B02C45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FRITILLARIAE THUNBERGII BULBUS</w:t>
      </w:r>
    </w:p>
    <w:p w14:paraId="13F53268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0F197EA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30" w:name="_GoBack"/>
      <w:bookmarkEnd w:id="30"/>
    </w:p>
    <w:p w14:paraId="14912F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580B460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E3F58D">
                                  <w:pPr>
                                    <w:pStyle w:val="19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E6ACAB2">
                                  <w:pPr>
                                    <w:pStyle w:val="19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7D2664F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580B460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E3F58D">
                            <w:pPr>
                              <w:pStyle w:val="19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E6ACAB2">
                            <w:pPr>
                              <w:pStyle w:val="19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7D2664F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562600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3562600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C5EDD4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29175"/>
      <w:bookmarkStart w:id="1" w:name="_Toc18223"/>
      <w:bookmarkStart w:id="2" w:name="_Toc13472"/>
      <w:bookmarkStart w:id="3" w:name="_Toc31551"/>
      <w:bookmarkStart w:id="4" w:name="_Toc11998"/>
      <w:bookmarkStart w:id="5" w:name="_Toc5123"/>
      <w:bookmarkStart w:id="6" w:name="_Toc5094"/>
      <w:bookmarkStart w:id="7" w:name="_Toc7349"/>
      <w:bookmarkStart w:id="8" w:name="_Toc22401"/>
      <w:bookmarkStart w:id="9" w:name="_Toc26541137"/>
      <w:bookmarkStart w:id="10" w:name="_Toc30137"/>
      <w:bookmarkStart w:id="11" w:name="_Toc23109710"/>
      <w:bookmarkStart w:id="12" w:name="_Toc32599"/>
      <w:bookmarkStart w:id="13" w:name="_Toc16010"/>
      <w:bookmarkStart w:id="14" w:name="_Toc13900"/>
      <w:bookmarkStart w:id="15" w:name="_Toc19640"/>
      <w:bookmarkStart w:id="16" w:name="_Toc840"/>
      <w:bookmarkStart w:id="17" w:name="_Toc18100"/>
      <w:bookmarkStart w:id="18" w:name="_Toc26679"/>
      <w:bookmarkStart w:id="19" w:name="_Toc21586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3DF921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7E7B799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3130197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本标准起草单位：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成都中医药大学、中健安检测认证中心有限公司。</w:t>
      </w:r>
    </w:p>
    <w:p w14:paraId="17959ACD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本标准主要起草人：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高继海、袁鑫怡、邓华、田梅、王琦。</w:t>
      </w:r>
    </w:p>
    <w:p w14:paraId="751C7C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5AD7A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浙贝母</w:t>
      </w:r>
    </w:p>
    <w:p w14:paraId="77E7B6D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027D5B7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浙贝母的术语和定义、集采要求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E64489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浙贝母的集采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2A92E8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675274B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2A28F3C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 0001.1-2024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《道地药材集采交易标准编制通则》</w:t>
      </w:r>
    </w:p>
    <w:p w14:paraId="27801D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1021.1-2016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4845E6C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-201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8 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《中药材商品规格等级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6AB374F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1020.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-2019 《道地药材标准 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浙贝母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70A343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术语和定义</w:t>
      </w:r>
    </w:p>
    <w:p w14:paraId="569E5D2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3.1 </w:t>
      </w:r>
    </w:p>
    <w:p w14:paraId="46852F8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大贝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da bei</w:t>
      </w:r>
    </w:p>
    <w:p w14:paraId="65015BF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初夏采挖，洗净，大者摘去芯芽，称“大贝”。拌以煅过的贝壳粉，吸去撞出的浆汁，干燥。</w:t>
      </w: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CF15E8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9C2532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完整珠贝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shellfish that produce pearls</w:t>
      </w:r>
    </w:p>
    <w:p w14:paraId="783CA6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初夏采挖，洗净，小者不摘芯芽，称“珠贝”。拌以煅过的贝壳粉，吸去撞出的浆汁，干燥。</w:t>
      </w:r>
    </w:p>
    <w:p w14:paraId="1A5659E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 集采要求</w:t>
      </w:r>
    </w:p>
    <w:p w14:paraId="06CE22A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 来源</w:t>
      </w:r>
    </w:p>
    <w:p w14:paraId="283AE2F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4.1.1 基原</w:t>
      </w:r>
    </w:p>
    <w:p w14:paraId="7DFEC21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百合科植物浙贝母</w:t>
      </w:r>
      <w:r>
        <w:rPr>
          <w:rFonts w:hint="eastAsia" w:ascii="宋体" w:hAnsi="宋体" w:eastAsia="宋体" w:cs="宋体"/>
          <w:bCs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thunbergii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Miq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.。</w:t>
      </w:r>
    </w:p>
    <w:p w14:paraId="70946DA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4.1.2 药用部位</w:t>
      </w:r>
    </w:p>
    <w:p w14:paraId="328496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干燥鳞茎。</w:t>
      </w:r>
    </w:p>
    <w:p w14:paraId="17C98A9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4.1.3 产地</w:t>
      </w:r>
    </w:p>
    <w:p w14:paraId="0265302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主产于浙江省宁波市、金华市等周边地区的栽培浙贝母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6B7CDE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4.1.4 采收期</w:t>
      </w:r>
    </w:p>
    <w:p w14:paraId="522AF0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初夏植株枯萎时釆挖。</w:t>
      </w:r>
    </w:p>
    <w:p w14:paraId="3E618B3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4.1.5 产地加工</w:t>
      </w:r>
    </w:p>
    <w:p w14:paraId="20DDCA5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采收后，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洗净，大小分开，大者除去芯芽，习称“大贝”，小者不去芯芽，习称“珠贝”。分别撞擦，除去外皮，拌以煅过的贝壳粉，吸去擦出的浆汁，干燥；或取鳞茎，大小分开，洗净，除去芯芽，趁鲜切成厚片，洗净，干燥，习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浙贝片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03B437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 性状</w:t>
      </w:r>
    </w:p>
    <w:p w14:paraId="32E4299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4.2.1 形状</w:t>
      </w:r>
    </w:p>
    <w:p w14:paraId="45C7B52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贝为鳞茎外层的单瓣鳞叶，略呈新月形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9F9FAF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珠贝为完整的鳞茎，呈扁圆形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C7383F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浙贝片为椭圆形或类圆形片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7DA301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4.2.2 大小</w:t>
      </w:r>
    </w:p>
    <w:p w14:paraId="178D74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浙贝片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选货和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eastAsia="zh-CN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直径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2.0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～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cs="宋体"/>
          <w:bCs/>
          <w:color w:val="000000"/>
          <w:sz w:val="21"/>
          <w:szCs w:val="21"/>
          <w:highlight w:val="none"/>
        </w:rPr>
        <w:t>.5cm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均匀度在60%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～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75%。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统货直径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≤2.0cm，均匀度≤60%。</w:t>
      </w:r>
    </w:p>
    <w:p w14:paraId="4401E67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完整珠贝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选货和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eastAsia="zh-CN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直径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2.0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～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2</w:t>
      </w:r>
      <w:r>
        <w:rPr>
          <w:rFonts w:ascii="宋体" w:hAnsi="宋体" w:cs="宋体"/>
          <w:bCs/>
          <w:color w:val="000000"/>
          <w:sz w:val="21"/>
          <w:szCs w:val="21"/>
          <w:highlight w:val="none"/>
        </w:rPr>
        <w:t>.5cm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均匀度在60%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～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75%。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统货直径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≤2.0cm，均匀度≤60%。</w:t>
      </w:r>
    </w:p>
    <w:p w14:paraId="3A7799C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4.2.3 表面</w:t>
      </w:r>
    </w:p>
    <w:p w14:paraId="61723C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贝外表面类白色至淡黄色，内表面白色或淡棕色，被有白色粉末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6A896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珠贝表面黄棕色至黄褐色，有不规则的皱纹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或表面类白色至淡黄色，较光滑或被有白色粉末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84A300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浙贝片外皮黄褐色或灰褐色，略皱缩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或淡黄色，较光滑。</w:t>
      </w:r>
    </w:p>
    <w:p w14:paraId="3FC0170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4.2.4 断面</w:t>
      </w:r>
    </w:p>
    <w:p w14:paraId="0EBE58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贝断面白色至黄白色，富粉性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8B1A3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珠贝断面淡黄色或类白色，略带角质状或粉性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8E467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浙贝片断面粉白色，富粉性。</w:t>
      </w:r>
    </w:p>
    <w:p w14:paraId="3CDF818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4.2.5 质地</w:t>
      </w:r>
    </w:p>
    <w:p w14:paraId="28FD8F1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大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贝质硬而脆，易折断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276631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珠贝质硬，不易折断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5E114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浙贝片质脆，易折断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9B6EA0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4.2.6 气味</w:t>
      </w:r>
    </w:p>
    <w:p w14:paraId="5091E5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气微，味微苦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59EEE7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 鉴别</w:t>
      </w:r>
    </w:p>
    <w:p w14:paraId="69C539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4.3.1 显微鉴别</w:t>
      </w:r>
    </w:p>
    <w:p w14:paraId="2B86078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本品粉末淡黄白色。淀粉粒甚多，单粒卵形、广卵形或椭圆形，直径6～56μm，层纹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可见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。表皮细胞类多角形或长方形，垂周壁连珠状增厚；气孔少见，副卫细胞4～5个。草酸钙结晶少见，细小，多呈颗粒状，有的呈梭形、方形或细杆状。导管多为螺纹，直径至18μm。</w:t>
      </w:r>
    </w:p>
    <w:p w14:paraId="742C14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4.3.2 薄层鉴别</w:t>
      </w:r>
    </w:p>
    <w:p w14:paraId="7103F7C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取本品粉末5g，加浓氨试液2ml与三氯甲烷20ml，放置过夜，滤过，取滤液8ml，蒸干，残渣加三氯甲烷1ml使溶解，作为供试品溶液。另取贝母素甲对照品、贝母素乙对照品，加三氯甲烷制成每1ml各含2mg的混合溶液，作为对照品溶液。照薄层色谱法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《中华人民共和国药典》2020年版通则0502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试验，吸取供试品溶液10～20μl、对照品溶液10μl，分别点于同一硅胶G薄层板上，以乙酸乙酯-甲醇-浓氨试液（17∶2∶1）为展开剂，展开，取出，晾干，喷以稀碘化铋钾试液。供试品色谱中，在与对照品色谱相应的位置上，显相同颜色的斑点。</w:t>
      </w:r>
    </w:p>
    <w:p w14:paraId="17A8DB4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 检查</w:t>
      </w:r>
    </w:p>
    <w:p w14:paraId="662930A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4.4.1 水分</w:t>
      </w:r>
    </w:p>
    <w:p w14:paraId="6B0C546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不得过18.0%（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0832第二法）。</w:t>
      </w:r>
    </w:p>
    <w:p w14:paraId="2A1FA66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4.4.2 总灰分</w:t>
      </w:r>
    </w:p>
    <w:p w14:paraId="6576173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不得过6.0%（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2302）。</w:t>
      </w:r>
    </w:p>
    <w:p w14:paraId="373710D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4.4.3 浸出物</w:t>
      </w:r>
    </w:p>
    <w:p w14:paraId="7DC429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照醇溶性浸出物测定法（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2201）项下的热浸法测定，用稀乙醇作溶剂，不得少于8.0%。</w:t>
      </w:r>
    </w:p>
    <w:p w14:paraId="11FB05B0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4.4.4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二氧化硫残留</w:t>
      </w:r>
    </w:p>
    <w:p w14:paraId="6480147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照二氧化硫残留量测定法（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通则2331）测定，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7BEF8A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4.4.5 重金属残留</w:t>
      </w:r>
    </w:p>
    <w:p w14:paraId="2278E164">
      <w:pPr>
        <w:pStyle w:val="4"/>
        <w:keepNext w:val="0"/>
        <w:keepLines w:val="0"/>
        <w:pageBreakBefore w:val="0"/>
        <w:widowControl w:val="0"/>
        <w:tabs>
          <w:tab w:val="left" w:pos="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Cs/>
          <w:color w:val="000000"/>
          <w:sz w:val="21"/>
          <w:szCs w:val="21"/>
          <w:highlight w:val="none"/>
          <w:lang w:val="en-US" w:eastAsia="zh-CN"/>
        </w:rPr>
        <w:t>照</w:t>
      </w:r>
      <w:r>
        <w:rPr>
          <w:rFonts w:hint="default" w:ascii="Times New Roman" w:hAnsi="Times New Roman" w:cs="Times New Roman" w:eastAsia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药典》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</w:rPr>
        <w:t>2020版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铅不得过10mg/kg；镉不得过1mg/kg；砷不得过5mg/kg；汞不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得过1mg/kg；铜不得过20mg/kg。</w:t>
      </w:r>
    </w:p>
    <w:p w14:paraId="54307C2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4.4.6 农药残留</w:t>
      </w:r>
    </w:p>
    <w:p w14:paraId="5E2C7E1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《中华人民共和国药典》通则0212中列出的禁用农药不得检出。</w:t>
      </w:r>
    </w:p>
    <w:p w14:paraId="20AF53B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 含量</w:t>
      </w:r>
    </w:p>
    <w:p w14:paraId="64515C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贝母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干燥品计算，含贝母素甲（C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NO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）和贝母素乙（C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27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43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NO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）的总量，不得少于0.080%（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《中华人民共和国药典》2020版高效液相色谱法通则0512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 w14:paraId="75E410A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 质量控制</w:t>
      </w:r>
    </w:p>
    <w:p w14:paraId="70F4AD9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4.6.1 可追溯</w:t>
      </w:r>
    </w:p>
    <w:p w14:paraId="2F0C670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1E2815B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4.6.2 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药材生产管理规范</w:t>
      </w:r>
    </w:p>
    <w:p w14:paraId="703057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精品药材浙贝母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应符合中药材GAP管理要求，并通过GAP备案或延伸检查。</w:t>
      </w:r>
    </w:p>
    <w:p w14:paraId="22574DB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4.6.3 道地药材</w:t>
      </w:r>
    </w:p>
    <w:p w14:paraId="3F6DE6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精品药材浙贝母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23D226B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4.7 等级及集采要求</w:t>
      </w:r>
    </w:p>
    <w:p w14:paraId="0FE83BA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浙贝母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精品药材具体要求见表1。</w:t>
      </w:r>
    </w:p>
    <w:tbl>
      <w:tblPr>
        <w:tblStyle w:val="9"/>
        <w:tblpPr w:leftFromText="180" w:rightFromText="180" w:vertAnchor="text" w:horzAnchor="page" w:tblpX="1268" w:tblpY="747"/>
        <w:tblOverlap w:val="never"/>
        <w:tblW w:w="9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40"/>
        <w:gridCol w:w="1940"/>
        <w:gridCol w:w="1940"/>
      </w:tblGrid>
      <w:tr w14:paraId="3A403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D07B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浙贝母</w:t>
            </w:r>
          </w:p>
        </w:tc>
      </w:tr>
      <w:tr w14:paraId="239D4D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E55B6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61EB81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</w:t>
            </w:r>
          </w:p>
          <w:p w14:paraId="342A3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42A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7A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0301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21884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25AC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219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68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百合科植物浙贝母</w:t>
            </w:r>
            <w:r>
              <w:rPr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Fritillaria thunbergii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 xml:space="preserve"> Miq.</w:t>
            </w:r>
          </w:p>
        </w:tc>
      </w:tr>
      <w:tr w14:paraId="45518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74C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679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D2A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干燥鳞茎</w:t>
            </w:r>
          </w:p>
        </w:tc>
      </w:tr>
      <w:tr w14:paraId="435B7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57BC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8157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4E6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初夏植株枯萎时釆挖</w:t>
            </w:r>
          </w:p>
        </w:tc>
      </w:tr>
      <w:tr w14:paraId="41F9E4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4E1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C247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B35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洗净，大小分开，大者除去芯芽，习称“大贝”，小者不去芯芽，习称“珠贝”。分别撞擦，除去外皮，拌以煅过的贝壳粉，吸去擦出的浆汁，干燥；或取鳞茎，大小分开，洗净，除去芯芽，趁鲜切成厚片，洗净，干燥，习称“浙贝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</w:p>
        </w:tc>
      </w:tr>
      <w:tr w14:paraId="2171C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8FD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FC80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EC04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产于浙江省宁波市、金华市等周边地区的栽培浙贝母</w:t>
            </w:r>
          </w:p>
        </w:tc>
      </w:tr>
      <w:tr w14:paraId="7C39C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C7A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E93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9C2C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大贝为鳞茎外层的单瓣鳞叶，略呈新月形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109977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珠贝为完整的鳞茎，呈扁圆形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206187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浙贝片为椭圆形或类圆形片</w:t>
            </w:r>
          </w:p>
        </w:tc>
      </w:tr>
      <w:tr w14:paraId="01747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7E7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FA9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12E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气微，味微苦</w:t>
            </w:r>
          </w:p>
        </w:tc>
      </w:tr>
      <w:tr w14:paraId="18857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4A1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C4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90B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大贝断面白色至黄白色，富粉性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A702B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珠贝断面淡黄色或类白色，略带角质状或粉性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0C662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浙贝片断面粉白色，富粉性</w:t>
            </w:r>
          </w:p>
        </w:tc>
      </w:tr>
      <w:tr w14:paraId="0F5373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57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7E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F23D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大贝质硬而脆，易折断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8E103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珠贝质硬，不易折断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7C48E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浙贝片质脆，易折断</w:t>
            </w:r>
          </w:p>
        </w:tc>
      </w:tr>
      <w:tr w14:paraId="38DB5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042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EC3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BA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大贝外表面类白色至淡黄色，内表面白色或淡棕色，被有白色粉末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EA5C4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珠贝表面黄棕色至黄褐色，有不规则的皱纹，或表面类白色至淡黄色，较光滑或被有白色粉末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7A0B7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浙贝片外皮黄褐色或灰褐色，略皱缩，或淡黄色，较光滑</w:t>
            </w:r>
          </w:p>
        </w:tc>
      </w:tr>
      <w:tr w14:paraId="13388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98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CF5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均匀度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26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≤60%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E9AF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75%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13E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75%</w:t>
            </w:r>
          </w:p>
        </w:tc>
      </w:tr>
      <w:tr w14:paraId="0AEF9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83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AD0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5AC8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浙贝片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≤2.0cm；</w:t>
            </w:r>
          </w:p>
          <w:p w14:paraId="4220FA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完整珠贝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≤2.0cm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1E0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浙贝片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.5cm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B985D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完整珠贝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≤2.0cm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5A5C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浙贝片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.5cm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57400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完整珠贝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直径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≤2.0cm</w:t>
            </w:r>
          </w:p>
        </w:tc>
      </w:tr>
      <w:tr w14:paraId="34CEF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07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960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9A10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本品粉末淡黄白色。淀粉粒甚多，单粒卵形、广卵形或椭圆形，直径6～56μm，层纹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。表皮细胞类多角形或长方形，垂周壁连珠状增厚；气孔少见，副卫细胞4～5个。草酸钙结晶少见，细小，多呈颗粒状，有的呈梭形、方形或细杆状。导管多为螺纹，直径至18μm</w:t>
            </w:r>
          </w:p>
        </w:tc>
      </w:tr>
      <w:tr w14:paraId="51AE65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498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5C1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5BC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取本品粉末5g，加浓氨试液2ml与三氯甲烷20ml，放置过夜，滤过，取滤液8ml，蒸干，残渣加三氯甲烷1ml使溶解，作为供试品溶液。另取贝母素甲对照品、贝母素乙对照品，加三氯甲烷制成每1ml各含2mg的混合溶液，作为对照品溶液。照薄层色谱法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）试验，吸取供试品溶液10～20μl、对照品溶液10μl，分别点于同一硅胶G薄层板上，以乙酸乙酯-甲醇-浓氨试液（17∶2∶1）为展开剂，展开，取出，晾干，喷以稀碘化铋钾试液。供试品色谱中，在与对照品色谱相应的位置上，显相同颜色的斑点</w:t>
            </w:r>
          </w:p>
        </w:tc>
      </w:tr>
      <w:tr w14:paraId="6F0DAE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89E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929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389D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不得过18.0%</w:t>
            </w:r>
          </w:p>
        </w:tc>
      </w:tr>
      <w:tr w14:paraId="3A582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D6B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23A5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97AE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不得过6.0%</w:t>
            </w:r>
          </w:p>
        </w:tc>
      </w:tr>
      <w:tr w14:paraId="12BD4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744E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5A67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6E78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不得少于8.0%</w:t>
            </w:r>
          </w:p>
        </w:tc>
      </w:tr>
      <w:tr w14:paraId="1B33A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0760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4B0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95A5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0F6C9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5540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A68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DE8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73276E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A0EE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691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968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528E96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2BA9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532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贝母素甲（C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5A113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贝母素乙（C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的总量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3BB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不得少于0.080%</w:t>
            </w:r>
          </w:p>
        </w:tc>
      </w:tr>
      <w:tr w14:paraId="2455E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513B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24E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F63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3E215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707F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3E3D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735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37B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AE6F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highlight w:val="none"/>
                <w:lang w:bidi="ar"/>
              </w:rPr>
              <w:t>GAP备案或延伸审查通过</w:t>
            </w:r>
          </w:p>
        </w:tc>
      </w:tr>
      <w:tr w14:paraId="6B4540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4F8B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180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4A59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35F7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966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1941C5E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 w14:paraId="4ED0609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53FF6BB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szCs w:val="21"/>
          <w:highlight w:val="none"/>
          <w:lang w:val="en-US" w:eastAsia="zh-CN"/>
        </w:rPr>
      </w:pPr>
      <w:r>
        <w:rPr>
          <w:rFonts w:ascii="Times New Roman" w:hAnsi="Times New Roman" w:eastAsia="黑体"/>
          <w:szCs w:val="21"/>
          <w:highlight w:val="none"/>
        </w:rPr>
        <w:t>附录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A</w:t>
      </w:r>
    </w:p>
    <w:p w14:paraId="42E7112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（规范性附录）</w:t>
      </w:r>
    </w:p>
    <w:p w14:paraId="4F20FDD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浙贝母集采交易</w:t>
      </w:r>
      <w:r>
        <w:rPr>
          <w:rFonts w:ascii="Times New Roman" w:hAnsi="Times New Roman" w:eastAsia="黑体"/>
          <w:szCs w:val="21"/>
          <w:highlight w:val="none"/>
        </w:rPr>
        <w:t>规格等级性状图</w:t>
      </w:r>
    </w:p>
    <w:p w14:paraId="14A10C9C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1990" cy="2477135"/>
            <wp:effectExtent l="0" t="0" r="3810" b="12065"/>
            <wp:docPr id="16" name="图片 16" descr="14浙贝母（珠贝）统货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4浙贝母（珠贝）统货-"/>
                    <pic:cNvPicPr>
                      <a:picLocks noChangeAspect="1"/>
                    </pic:cNvPicPr>
                  </pic:nvPicPr>
                  <pic:blipFill>
                    <a:blip r:embed="rId14"/>
                    <a:srcRect l="1717" t="7185"/>
                    <a:stretch>
                      <a:fillRect/>
                    </a:stretch>
                  </pic:blipFill>
                  <pic:spPr>
                    <a:xfrm>
                      <a:off x="0" y="0"/>
                      <a:ext cx="322199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55F23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图A1 珠贝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</w:p>
    <w:p w14:paraId="4CF8A8F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1990" cy="2399665"/>
            <wp:effectExtent l="0" t="0" r="3810" b="635"/>
            <wp:docPr id="9" name="图片 9" descr="14珠贝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4珠贝-选货"/>
                    <pic:cNvPicPr>
                      <a:picLocks noChangeAspect="1"/>
                    </pic:cNvPicPr>
                  </pic:nvPicPr>
                  <pic:blipFill>
                    <a:blip r:embed="rId15"/>
                    <a:srcRect l="2006" t="11635" r="2860"/>
                    <a:stretch>
                      <a:fillRect/>
                    </a:stretch>
                  </pic:blipFill>
                  <pic:spPr>
                    <a:xfrm>
                      <a:off x="0" y="0"/>
                      <a:ext cx="3221990" cy="239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0"/>
    <w:p w14:paraId="677CE4C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21" w:name="_Toc501701529"/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图A2 珠贝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</w:p>
    <w:p w14:paraId="6C632B5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7B57804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18180" cy="2650490"/>
            <wp:effectExtent l="0" t="0" r="7620" b="3810"/>
            <wp:docPr id="17" name="图片 17" descr="14珠贝片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4珠贝片-统货"/>
                    <pic:cNvPicPr>
                      <a:picLocks noChangeAspect="1"/>
                    </pic:cNvPicPr>
                  </pic:nvPicPr>
                  <pic:blipFill>
                    <a:blip r:embed="rId16"/>
                    <a:srcRect l="656"/>
                    <a:stretch>
                      <a:fillRect/>
                    </a:stretch>
                  </pic:blipFill>
                  <pic:spPr>
                    <a:xfrm>
                      <a:off x="0" y="0"/>
                      <a:ext cx="321818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21B3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图A3 珠贝片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</w:p>
    <w:p w14:paraId="2E3384B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16910" cy="3039745"/>
            <wp:effectExtent l="0" t="0" r="0" b="0"/>
            <wp:docPr id="18" name="图片 18" descr="14珠贝片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4珠贝片-选货"/>
                    <pic:cNvPicPr>
                      <a:picLocks noChangeAspect="1"/>
                    </pic:cNvPicPr>
                  </pic:nvPicPr>
                  <pic:blipFill>
                    <a:blip r:embed="rId17"/>
                    <a:srcRect l="2239"/>
                    <a:stretch>
                      <a:fillRect/>
                    </a:stretch>
                  </pic:blipFill>
                  <pic:spPr>
                    <a:xfrm>
                      <a:off x="0" y="0"/>
                      <a:ext cx="3216910" cy="3039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CB92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footerReference r:id="rId10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图A4 珠贝片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药材规格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</w:p>
    <w:bookmarkEnd w:id="21"/>
    <w:p w14:paraId="268A8562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2" w:name="_Toc9701"/>
      <w:bookmarkStart w:id="23" w:name="_Toc30293"/>
      <w:bookmarkStart w:id="24" w:name="_Toc25047693"/>
      <w:bookmarkStart w:id="25" w:name="_Toc27406"/>
      <w:bookmarkStart w:id="26" w:name="_Toc15722"/>
      <w:bookmarkStart w:id="27" w:name="_Toc16858"/>
      <w:bookmarkStart w:id="28" w:name="_Toc26118"/>
      <w:bookmarkStart w:id="29" w:name="_Toc7443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CB08C2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1" w:type="default"/>
      <w:footerReference r:id="rId12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744E2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37A5A0F3">
    <w:pPr>
      <w:pStyle w:val="4"/>
      <w:ind w:left="-283" w:leftChars="-135"/>
      <w:jc w:val="right"/>
    </w:pPr>
  </w:p>
  <w:p w14:paraId="1A922BD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558451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68557BE2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C59275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0F268F0A">
    <w:pPr>
      <w:pStyle w:val="4"/>
      <w:ind w:left="-283" w:leftChars="-135"/>
      <w:jc w:val="right"/>
    </w:pPr>
  </w:p>
  <w:p w14:paraId="6A7A104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B25FB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69CCA39E"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81843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606A3B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606A3B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3BD76D1A">
        <w:pPr>
          <w:pStyle w:val="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5BB0AD57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2CDCCB">
    <w:pPr>
      <w:pStyle w:val="18"/>
      <w:rPr>
        <w:rFonts w:hint="eastAsia" w:ascii="黑体" w:hAnsi="黑体" w:eastAsia="黑体"/>
        <w:sz w:val="21"/>
        <w:szCs w:val="21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4C7C9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4C7C9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 xml:space="preserve">RB </w:t>
    </w:r>
    <w:r>
      <w:rPr>
        <w:rFonts w:hint="eastAsia" w:ascii="黑体" w:hAnsi="黑体" w:eastAsia="黑体"/>
        <w:sz w:val="21"/>
        <w:szCs w:val="21"/>
        <w:lang w:eastAsia="zh-CN"/>
      </w:rPr>
      <w:t>贝母贝母</w:t>
    </w:r>
    <w:r>
      <w:rPr>
        <w:rFonts w:ascii="黑体" w:hAnsi="黑体" w:eastAsia="黑体"/>
        <w:sz w:val="21"/>
        <w:szCs w:val="21"/>
      </w:rPr>
      <w:t>X—</w:t>
    </w:r>
    <w:r>
      <w:rPr>
        <w:rFonts w:hint="eastAsia" w:ascii="黑体" w:hAnsi="黑体" w:eastAsia="黑体"/>
        <w:sz w:val="21"/>
        <w:szCs w:val="21"/>
        <w:lang w:eastAsia="zh-CN"/>
      </w:rPr>
      <w:t>贝母贝母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B96598"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0001.5-2024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98C9C3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3EFEA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43EFEA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E307EA">
    <w:pPr>
      <w:pStyle w:val="5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0001.5-2024</w:t>
    </w:r>
  </w:p>
  <w:p w14:paraId="00C94452">
    <w:pPr>
      <w:pStyle w:val="5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AE4989"/>
    <w:rsid w:val="02C36C6E"/>
    <w:rsid w:val="05443E04"/>
    <w:rsid w:val="05EB284D"/>
    <w:rsid w:val="07D478A0"/>
    <w:rsid w:val="094E31A8"/>
    <w:rsid w:val="095F28AF"/>
    <w:rsid w:val="0BA37419"/>
    <w:rsid w:val="0D1C5FF3"/>
    <w:rsid w:val="124E4138"/>
    <w:rsid w:val="131B05CE"/>
    <w:rsid w:val="138676EA"/>
    <w:rsid w:val="142F44DC"/>
    <w:rsid w:val="15B2766E"/>
    <w:rsid w:val="15B629B0"/>
    <w:rsid w:val="17446EF2"/>
    <w:rsid w:val="17F717AB"/>
    <w:rsid w:val="181571E6"/>
    <w:rsid w:val="186662F2"/>
    <w:rsid w:val="18ED2570"/>
    <w:rsid w:val="19733042"/>
    <w:rsid w:val="19BD1631"/>
    <w:rsid w:val="1A7A7A3E"/>
    <w:rsid w:val="1B5A68E3"/>
    <w:rsid w:val="1B78507E"/>
    <w:rsid w:val="1C8675B7"/>
    <w:rsid w:val="1DCA2FA5"/>
    <w:rsid w:val="1E751255"/>
    <w:rsid w:val="1E861C86"/>
    <w:rsid w:val="1FC46101"/>
    <w:rsid w:val="214051CC"/>
    <w:rsid w:val="23492C57"/>
    <w:rsid w:val="241F5FA8"/>
    <w:rsid w:val="242D02F5"/>
    <w:rsid w:val="28550131"/>
    <w:rsid w:val="28C923B9"/>
    <w:rsid w:val="2A753B73"/>
    <w:rsid w:val="2AD56552"/>
    <w:rsid w:val="2B245BD4"/>
    <w:rsid w:val="2D542766"/>
    <w:rsid w:val="2FBA2809"/>
    <w:rsid w:val="2FFB5892"/>
    <w:rsid w:val="317B7467"/>
    <w:rsid w:val="31E2669F"/>
    <w:rsid w:val="32B17A05"/>
    <w:rsid w:val="34B65AB4"/>
    <w:rsid w:val="34FA36FB"/>
    <w:rsid w:val="35E3546D"/>
    <w:rsid w:val="391B1AB4"/>
    <w:rsid w:val="39455658"/>
    <w:rsid w:val="398E66CE"/>
    <w:rsid w:val="3BED44B1"/>
    <w:rsid w:val="3C324CBB"/>
    <w:rsid w:val="3DF2381E"/>
    <w:rsid w:val="406A59FE"/>
    <w:rsid w:val="44C757E3"/>
    <w:rsid w:val="44D167BE"/>
    <w:rsid w:val="46566D64"/>
    <w:rsid w:val="474451A1"/>
    <w:rsid w:val="47AE6527"/>
    <w:rsid w:val="48D75D6F"/>
    <w:rsid w:val="48F11154"/>
    <w:rsid w:val="4A7B2700"/>
    <w:rsid w:val="4AE5414E"/>
    <w:rsid w:val="4CFE603D"/>
    <w:rsid w:val="4DEC11A4"/>
    <w:rsid w:val="4E1C64F6"/>
    <w:rsid w:val="4E4B6454"/>
    <w:rsid w:val="4F145070"/>
    <w:rsid w:val="4F62073C"/>
    <w:rsid w:val="5073598C"/>
    <w:rsid w:val="519D38C5"/>
    <w:rsid w:val="51F9353B"/>
    <w:rsid w:val="52267BB8"/>
    <w:rsid w:val="522A30F1"/>
    <w:rsid w:val="524467E0"/>
    <w:rsid w:val="53624283"/>
    <w:rsid w:val="554149BF"/>
    <w:rsid w:val="556B21D1"/>
    <w:rsid w:val="56121E41"/>
    <w:rsid w:val="56810BB9"/>
    <w:rsid w:val="595A2602"/>
    <w:rsid w:val="5A667456"/>
    <w:rsid w:val="5AB32FCF"/>
    <w:rsid w:val="5C697B86"/>
    <w:rsid w:val="5D2D6150"/>
    <w:rsid w:val="5EF3396C"/>
    <w:rsid w:val="5F8A1E93"/>
    <w:rsid w:val="5FE84962"/>
    <w:rsid w:val="63B83757"/>
    <w:rsid w:val="66361A76"/>
    <w:rsid w:val="6655667C"/>
    <w:rsid w:val="68600824"/>
    <w:rsid w:val="69101C9B"/>
    <w:rsid w:val="69DB10E9"/>
    <w:rsid w:val="69E05B76"/>
    <w:rsid w:val="6AA15FA4"/>
    <w:rsid w:val="6DA05275"/>
    <w:rsid w:val="6F3217F6"/>
    <w:rsid w:val="6FCD1928"/>
    <w:rsid w:val="71281202"/>
    <w:rsid w:val="712A66B5"/>
    <w:rsid w:val="71D36D7A"/>
    <w:rsid w:val="746F2FAE"/>
    <w:rsid w:val="75C90F16"/>
    <w:rsid w:val="76031347"/>
    <w:rsid w:val="76AA5A81"/>
    <w:rsid w:val="77C7365E"/>
    <w:rsid w:val="78FC11DC"/>
    <w:rsid w:val="791079EB"/>
    <w:rsid w:val="7A0A5C53"/>
    <w:rsid w:val="7A1A26EA"/>
    <w:rsid w:val="7B391F11"/>
    <w:rsid w:val="7D052701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2">
    <w:name w:val="实施日期"/>
    <w:basedOn w:val="13"/>
    <w:autoRedefine/>
    <w:qFormat/>
    <w:uiPriority w:val="0"/>
    <w:pPr>
      <w:framePr w:wrap="around" w:vAnchor="page" w:hAnchor="text"/>
      <w:jc w:val="right"/>
    </w:pPr>
  </w:style>
  <w:style w:type="paragraph" w:customStyle="1" w:styleId="13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7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9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4.jpeg"/><Relationship Id="rId16" Type="http://schemas.openxmlformats.org/officeDocument/2006/relationships/image" Target="media/image3.jpeg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2082</Words>
  <Characters>2585</Characters>
  <Lines>0</Lines>
  <Paragraphs>0</Paragraphs>
  <TotalTime>0</TotalTime>
  <ScaleCrop>false</ScaleCrop>
  <LinksUpToDate>false</LinksUpToDate>
  <CharactersWithSpaces>2660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E3EAB6710EAA4B60952656B8EAFF0D08_13</vt:lpwstr>
  </property>
</Properties>
</file>