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3D45B5">
      <w:pPr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EA6CCF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731EAC8F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3F24679C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0B3AFF42">
                            <w:pPr>
                              <w:pStyle w:val="1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1EA6CCF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731EAC8F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3F24679C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0B3AFF42">
                      <w:pPr>
                        <w:pStyle w:val="15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/>
          <w:szCs w:val="21"/>
          <w:lang w:val="en-US" w:eastAsia="zh-CN"/>
        </w:rPr>
        <w:t xml:space="preserve"> </w:t>
      </w:r>
    </w:p>
    <w:p w14:paraId="3F21C25B">
      <w:pPr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05CF0AFE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2750820</wp:posOffset>
                </wp:positionH>
                <wp:positionV relativeFrom="margin">
                  <wp:posOffset>-250825</wp:posOffset>
                </wp:positionV>
                <wp:extent cx="3178175" cy="588010"/>
                <wp:effectExtent l="0" t="0" r="6985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5AE5DE">
                            <w:pPr>
                              <w:pStyle w:val="15"/>
                              <w:jc w:val="right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6.6pt;margin-top:-19.75pt;height:46.3pt;width:250.2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R7Qk9oAAAAKAQAADwAAAAAA&#10;AAABACAAAAAiAAAAZHJzL2Rvd25yZXYueG1sUEsBAhQAFAAAAAgAh07iQGHgQ2cRAgAALg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05AE5DE">
                      <w:pPr>
                        <w:pStyle w:val="15"/>
                        <w:jc w:val="right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8AA4E1B">
      <w:pPr>
        <w:jc w:val="left"/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370840</wp:posOffset>
                </wp:positionV>
                <wp:extent cx="6120130" cy="0"/>
                <wp:effectExtent l="0" t="4445" r="4445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29.2pt;height:0pt;width:481.9pt;z-index:251662336;mso-width-relative:page;mso-height-relative:page;" filled="f" stroked="t" coordsize="21600,21600" o:gfxdata="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RX88V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BFC2E7">
                            <w:pPr>
                              <w:pStyle w:val="16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1BFC2E7">
                      <w:pPr>
                        <w:pStyle w:val="16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-179705</wp:posOffset>
                </wp:positionH>
                <wp:positionV relativeFrom="margin">
                  <wp:posOffset>824230</wp:posOffset>
                </wp:positionV>
                <wp:extent cx="6120130" cy="539750"/>
                <wp:effectExtent l="0" t="0" r="4445" b="317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E79392B">
                            <w:pPr>
                              <w:pStyle w:val="17"/>
                              <w:spacing w:before="156" w:after="156"/>
                              <w:ind w:firstLine="1960" w:firstLineChars="700"/>
                              <w:jc w:val="right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highlight w:val="none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  <w:highlight w:val="non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0001.19-2024</w:t>
                            </w:r>
                          </w:p>
                          <w:p w14:paraId="122242D4">
                            <w:pPr>
                              <w:pStyle w:val="17"/>
                              <w:jc w:val="right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4.15pt;margin-top:64.9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Ag4uwLaAAAACwEAAA8AAAAAAAAA&#10;AQAgAAAAIgAAAGRycy9kb3ducmV2LnhtbFBLAQIUABQAAAAIAIdO4kCWAdgODwIAACw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E79392B">
                      <w:pPr>
                        <w:pStyle w:val="17"/>
                        <w:spacing w:before="156" w:after="156"/>
                        <w:ind w:firstLine="1960" w:firstLineChars="700"/>
                        <w:jc w:val="right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  <w:highlight w:val="none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  <w:highlight w:val="none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0001.19-2024</w:t>
                      </w:r>
                    </w:p>
                    <w:p w14:paraId="122242D4">
                      <w:pPr>
                        <w:pStyle w:val="17"/>
                        <w:jc w:val="right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D56A8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道地药材集采交易标准 建莲子</w:t>
      </w:r>
    </w:p>
    <w:p w14:paraId="5DF0B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-199" w:leftChars="-95" w:right="-304" w:rightChars="-145" w:firstLine="0" w:firstLineChars="0"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Centralized procurement standard 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for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66A68B8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/>
          <w:b w:val="0"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/>
          <w:b w:val="0"/>
          <w:bCs/>
          <w:color w:val="000000"/>
          <w:sz w:val="28"/>
          <w:szCs w:val="28"/>
          <w:highlight w:val="none"/>
          <w:lang w:val="en-US" w:eastAsia="zh-CN"/>
        </w:rPr>
        <w:t>NELUMBINIS SEMEN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7D39022C">
      <w:pPr>
        <w:spacing w:before="312" w:beforeLines="100" w:after="312" w:afterLines="100"/>
        <w:jc w:val="center"/>
        <w:rPr>
          <w:rFonts w:hint="default" w:ascii="黑体" w:hAnsi="黑体" w:eastAsia="黑体"/>
          <w:bCs/>
          <w:color w:val="000000"/>
          <w:sz w:val="52"/>
          <w:szCs w:val="52"/>
          <w:lang w:val="en-US" w:eastAsia="zh-CN"/>
        </w:rPr>
      </w:pPr>
      <w:bookmarkStart w:id="38" w:name="_GoBack"/>
      <w:bookmarkEnd w:id="38"/>
    </w:p>
    <w:p w14:paraId="0262C454">
      <w:pPr>
        <w:jc w:val="center"/>
        <w:rPr>
          <w:rFonts w:ascii="宋体" w:hAnsi="宋体"/>
          <w:bCs/>
          <w:color w:val="FF0000"/>
          <w:sz w:val="24"/>
        </w:rPr>
      </w:pPr>
    </w:p>
    <w:p w14:paraId="0BFCF3FE">
      <w:pPr>
        <w:rPr>
          <w:rFonts w:ascii="宋体" w:hAnsi="宋体"/>
          <w:bCs/>
          <w:color w:val="000000"/>
          <w:sz w:val="36"/>
          <w:szCs w:val="36"/>
        </w:rPr>
      </w:pPr>
    </w:p>
    <w:p w14:paraId="74FFFA78">
      <w:pPr>
        <w:pStyle w:val="11"/>
        <w:framePr w:wrap="around" w:vAnchor="margin" w:yAlign="top"/>
        <w:ind w:left="5250" w:right="280"/>
        <w:rPr>
          <w:color w:val="000000"/>
        </w:rPr>
      </w:pPr>
    </w:p>
    <w:p w14:paraId="1038D9F3">
      <w:pPr>
        <w:rPr>
          <w:rFonts w:ascii="宋体" w:hAnsi="宋体"/>
          <w:bCs/>
          <w:color w:val="000000"/>
          <w:sz w:val="36"/>
          <w:szCs w:val="36"/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6DBEAB09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09E3F3">
                                  <w:pPr>
                                    <w:pStyle w:val="18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F6AC25C">
                                  <w:pPr>
                                    <w:pStyle w:val="18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3620B983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6DBEAB09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09E3F3">
                            <w:pPr>
                              <w:pStyle w:val="18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F6AC25C">
                            <w:pPr>
                              <w:pStyle w:val="18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3620B983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4345940</wp:posOffset>
                </wp:positionH>
                <wp:positionV relativeFrom="margin">
                  <wp:posOffset>8079740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B3366D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42.2pt;margin-top:636.2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lmBxd2QAAAA4BAAAPAAAAAAAAAAEA&#10;IAAAACIAAABkcnMvZG93bnJldi54bWxQSwECFAAUAAAACACHTuJAcP+Dgg4CAAAsBAAADgAAAAAA&#10;AAABACAAAAAoAQAAZHJzL2Uyb0RvYy54bWxQSwUGAAAAAAYABgBZAQAAq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CB3366D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8081645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D09A48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6.3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86rhH9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6D09A48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37B1906">
      <w:pPr>
        <w:tabs>
          <w:tab w:val="left" w:pos="1305"/>
        </w:tabs>
        <w:rPr>
          <w:rFonts w:ascii="Times New Roman" w:hAnsi="Times New Roman"/>
          <w:color w:val="000000"/>
          <w:szCs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-101600</wp:posOffset>
                </wp:positionH>
                <wp:positionV relativeFrom="paragraph">
                  <wp:posOffset>1552575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8pt;margin-top:122.25pt;height:0pt;width:481.9pt;z-index:251666432;mso-width-relative:page;mso-height-relative:page;" filled="f" stroked="t" coordsize="21600,21600" o:gfxdata="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D8ueLXYAAAACw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C123AD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center"/>
        <w:textAlignment w:val="auto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18223"/>
      <w:bookmarkStart w:id="1" w:name="_Toc840"/>
      <w:bookmarkStart w:id="2" w:name="_Toc31551"/>
      <w:bookmarkStart w:id="3" w:name="_Toc13900"/>
      <w:bookmarkStart w:id="4" w:name="_Toc32599"/>
      <w:bookmarkStart w:id="5" w:name="_Toc5123"/>
      <w:bookmarkStart w:id="6" w:name="_Toc7349"/>
      <w:bookmarkStart w:id="7" w:name="_Toc18100"/>
      <w:bookmarkStart w:id="8" w:name="_Toc26541137"/>
      <w:bookmarkStart w:id="9" w:name="_Toc5094"/>
      <w:bookmarkStart w:id="10" w:name="_Toc26679"/>
      <w:bookmarkStart w:id="11" w:name="_Toc30137"/>
      <w:bookmarkStart w:id="12" w:name="_Toc23109710"/>
      <w:bookmarkStart w:id="13" w:name="_Toc19640"/>
      <w:bookmarkStart w:id="14" w:name="_Toc29175"/>
      <w:bookmarkStart w:id="15" w:name="_Toc13472"/>
      <w:bookmarkStart w:id="16" w:name="_Toc11998"/>
      <w:bookmarkStart w:id="17" w:name="_Toc16010"/>
      <w:bookmarkStart w:id="18" w:name="_Toc22401"/>
      <w:bookmarkStart w:id="19" w:name="_Toc21586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162A795F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本标准按照GB/T 1.1-2009《标准化工作导则 第1部分：标准的结构和编写》给出的规则起草。</w:t>
      </w:r>
    </w:p>
    <w:p w14:paraId="38F4EA49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本标准由中国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乡村发展协会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提出并归口。</w:t>
      </w:r>
    </w:p>
    <w:p w14:paraId="7A300735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本标准起草单位：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广东省中药研究所、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湖南省中药材产业协会、成都中医药大学、中健安检测认证中心有限公司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。</w:t>
      </w:r>
    </w:p>
    <w:p w14:paraId="59603117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本标准主要起草人：曾庆钱、杨子墨、高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继海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、王琦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。</w:t>
      </w:r>
    </w:p>
    <w:p w14:paraId="31B1374E">
      <w:pPr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 w14:paraId="15FB7350">
      <w:pPr>
        <w:pStyle w:val="3"/>
        <w:snapToGrid/>
        <w:spacing w:before="312" w:beforeLines="100" w:after="312" w:afterLines="100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p w14:paraId="244569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textAlignment w:val="auto"/>
        <w:rPr>
          <w:rFonts w:hint="default" w:ascii="黑体" w:hAnsi="黑体" w:eastAsia="黑体"/>
          <w:bCs/>
          <w:color w:val="000000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药材集采交易标准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 xml:space="preserve"> 建</w:t>
      </w:r>
      <w:r>
        <w:rPr>
          <w:rFonts w:hint="eastAsia" w:ascii="黑体" w:hAnsi="黑体" w:eastAsia="黑体"/>
          <w:bCs/>
          <w:color w:val="000000"/>
          <w:sz w:val="32"/>
          <w:szCs w:val="32"/>
          <w:highlight w:val="none"/>
          <w:lang w:val="en-US" w:eastAsia="zh-CN"/>
        </w:rPr>
        <w:t>莲子</w:t>
      </w:r>
    </w:p>
    <w:p w14:paraId="4443CE8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1 范围</w:t>
      </w:r>
    </w:p>
    <w:p w14:paraId="3715D5C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建莲子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要求。</w:t>
      </w:r>
    </w:p>
    <w:p w14:paraId="5E0544A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本标准适用于指导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建莲子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的集采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交易。</w:t>
      </w:r>
    </w:p>
    <w:p w14:paraId="7985935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2 规范性引用文件</w:t>
      </w:r>
    </w:p>
    <w:p w14:paraId="2833E20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3A6B469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T/ZGXCFZXH 0001.1-2024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《道药材集采交易标准编制通则》</w:t>
      </w:r>
    </w:p>
    <w:p w14:paraId="3CFCB80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T/CACM 1021.1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2016《中药材商品规格等级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编制通则》</w:t>
      </w:r>
    </w:p>
    <w:p w14:paraId="0285418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T/CACM 1021.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64-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201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8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 莲子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》</w:t>
      </w:r>
    </w:p>
    <w:p w14:paraId="23E7F5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T/CACAM 1020.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77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道地药材标准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建莲子》</w:t>
      </w:r>
    </w:p>
    <w:p w14:paraId="5ECE109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3 </w:t>
      </w: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术语和定义</w:t>
      </w:r>
    </w:p>
    <w:p w14:paraId="27D7814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 xml:space="preserve">3.1 </w:t>
      </w:r>
    </w:p>
    <w:p w14:paraId="3F99435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 xml:space="preserve">莲子 </w:t>
      </w:r>
    </w:p>
    <w:p w14:paraId="304F53B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睡莲科植物莲 Nelumbo nucifera Gaertn.的干燥成熟种子。秋季果实成熟时采割莲房，取出果实，除去果皮，干燥。不去种皮为红莲，去除种皮为白莲。</w:t>
      </w:r>
    </w:p>
    <w:p w14:paraId="0D498BE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 xml:space="preserve">3.2 </w:t>
      </w:r>
    </w:p>
    <w:p w14:paraId="6D0BECD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宽度</w:t>
      </w:r>
    </w:p>
    <w:p w14:paraId="294B75B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莲子药材的最大直径。</w:t>
      </w:r>
    </w:p>
    <w:p w14:paraId="6CC51A5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 xml:space="preserve">3.3 </w:t>
      </w:r>
    </w:p>
    <w:p w14:paraId="11C0E4A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红莲</w:t>
      </w:r>
    </w:p>
    <w:p w14:paraId="4C9DB83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指保留种皮的莲子。</w:t>
      </w:r>
    </w:p>
    <w:p w14:paraId="3921039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 xml:space="preserve">3.5 </w:t>
      </w:r>
    </w:p>
    <w:p w14:paraId="6137D56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建莲</w:t>
      </w:r>
    </w:p>
    <w:p w14:paraId="74E5F2F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1"/>
          <w:szCs w:val="21"/>
          <w:lang w:val="en-US" w:eastAsia="zh-CN"/>
        </w:rPr>
        <w:t>指产于福建省建瓯、建宁、建阳等地的莲子。</w:t>
      </w:r>
    </w:p>
    <w:p w14:paraId="340249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 集采要求</w:t>
      </w:r>
    </w:p>
    <w:p w14:paraId="476FD05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4.1来源</w:t>
      </w:r>
    </w:p>
    <w:p w14:paraId="2CD17EF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4.1.1 基原</w:t>
      </w:r>
    </w:p>
    <w:p w14:paraId="06727E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left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睡莲科植物莲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1"/>
          <w:szCs w:val="21"/>
          <w:lang w:val="en-US" w:eastAsia="zh-CN" w:bidi="ar"/>
        </w:rPr>
        <w:t>Nelumbo nucifera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Gaertn.</w:t>
      </w:r>
      <w:r>
        <w:rPr>
          <w:rFonts w:hint="eastAsia" w:ascii="宋体" w:hAnsi="宋体" w:cs="宋体"/>
          <w:color w:val="000000"/>
          <w:kern w:val="0"/>
          <w:sz w:val="21"/>
          <w:szCs w:val="21"/>
          <w:lang w:val="en-US" w:eastAsia="zh-CN" w:bidi="ar"/>
        </w:rPr>
        <w:t>。</w:t>
      </w:r>
    </w:p>
    <w:p w14:paraId="3C1A429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4.1.2 药用部位</w:t>
      </w:r>
    </w:p>
    <w:p w14:paraId="1569543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干燥成熟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种子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</w:p>
    <w:p w14:paraId="145D77A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4.1.3 产地</w:t>
      </w:r>
    </w:p>
    <w:p w14:paraId="7CC5BD7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以福建省武夷山麓中段及武夷山南麓、闽西北山区盆地为中心，核心区域包括建宁县、南平市建阳建瓯县及其周边地区。</w:t>
      </w:r>
    </w:p>
    <w:p w14:paraId="505CAEB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4.1.4 采收期</w:t>
      </w:r>
    </w:p>
    <w:p w14:paraId="7FDAE2A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秋季果实成熟时采割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。</w:t>
      </w:r>
    </w:p>
    <w:p w14:paraId="4190DA6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4.1.5 产地加工</w:t>
      </w:r>
    </w:p>
    <w:p w14:paraId="3BD02EB5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经</w:t>
      </w: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采割莲房，取出果实，除去果皮，干燥，或除去莲子心后干燥。</w:t>
      </w:r>
    </w:p>
    <w:p w14:paraId="70527FA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 性状</w:t>
      </w:r>
    </w:p>
    <w:p w14:paraId="14E27B9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4.2.1 形状</w:t>
      </w:r>
    </w:p>
    <w:p w14:paraId="5E75493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略呈椭圆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形或类球形，一端中心呈乳头状突起，深棕色。</w:t>
      </w:r>
    </w:p>
    <w:p w14:paraId="5C95125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4.2.2 表面</w:t>
      </w:r>
    </w:p>
    <w:p w14:paraId="7DCBB2C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表面浅黄棕色至红棕色，有细纵纹和较宽的脉纹。多有裂口，其周边略下陷。</w:t>
      </w:r>
    </w:p>
    <w:p w14:paraId="2ECFB57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4.2.3 质地</w:t>
      </w:r>
    </w:p>
    <w:p w14:paraId="4365E53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莲子质硬，种皮薄，不易剥离。</w:t>
      </w:r>
    </w:p>
    <w:p w14:paraId="0E2EEEA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4.2.4 气味</w:t>
      </w:r>
    </w:p>
    <w:p w14:paraId="27E6245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莲子气微，味甘，微涩，莲子心味苦。</w:t>
      </w:r>
    </w:p>
    <w:p w14:paraId="0F98CB9C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yellow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4.3 鉴别</w:t>
      </w:r>
    </w:p>
    <w:p w14:paraId="7B1439E1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beforeAutospacing="0" w:after="0" w:afterLines="50" w:afterAutospacing="0" w:line="240" w:lineRule="auto"/>
        <w:ind w:left="0" w:right="0" w:firstLine="0"/>
        <w:jc w:val="left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4.3.1 显微鉴别</w:t>
      </w:r>
    </w:p>
    <w:p w14:paraId="12B7ED87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Theme="minorEastAsia" w:hAnsiTheme="minorEastAsia" w:eastAsiaTheme="minorEastAsia" w:cstheme="minorEastAsia"/>
          <w:bCs/>
          <w:color w:val="000000"/>
          <w:kern w:val="0"/>
          <w:sz w:val="21"/>
          <w:szCs w:val="21"/>
          <w:lang w:val="en-US" w:eastAsia="zh-CN" w:bidi="ar-SA"/>
        </w:rPr>
        <w:t>本品粉末类白色。主为淀粉粒，单粒长圆形、类圆形、卵圆形或类三角形，有的具小尖突，直径4～25μm，脐点少数可见，裂缝状或点状；复粒稀少，由2～3分粒组成。色素层细胞黄棕色或红棕色，表面观呈类长方形、类长多角形或类圆形，有的可见草酸钙簇晶。子叶细胞呈长圆形，壁稍厚，有的呈连珠状，隐约可见纹孔域。可见螺纹导管和环纹导管。</w:t>
      </w:r>
    </w:p>
    <w:p w14:paraId="35873B5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beforeAutospacing="0" w:after="0" w:afterLines="50" w:afterAutospacing="0" w:line="240" w:lineRule="auto"/>
        <w:ind w:left="0" w:right="0" w:firstLine="0"/>
        <w:jc w:val="left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4.3.2 薄层鉴别</w:t>
      </w:r>
    </w:p>
    <w:p w14:paraId="70167B29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Theme="minorEastAsia" w:hAnsiTheme="minorEastAsia" w:eastAsiaTheme="minorEastAsia" w:cstheme="minorEastAsia"/>
          <w:bCs/>
          <w:color w:val="000000"/>
          <w:kern w:val="0"/>
          <w:sz w:val="21"/>
          <w:szCs w:val="21"/>
          <w:lang w:val="en-US" w:eastAsia="zh-CN" w:bidi="ar-SA"/>
        </w:rPr>
        <w:t>取本品粉末少许，加水适量，混匀，加碘试液数滴，呈蓝紫色，加热后逐渐褪色，放冷，蓝紫色复现。</w:t>
      </w:r>
    </w:p>
    <w:p w14:paraId="72F77896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/>
        <w:jc w:val="left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Theme="minorEastAsia" w:hAnsiTheme="minorEastAsia" w:eastAsiaTheme="minorEastAsia" w:cstheme="minorEastAsia"/>
          <w:bCs/>
          <w:color w:val="000000"/>
          <w:kern w:val="0"/>
          <w:sz w:val="21"/>
          <w:szCs w:val="21"/>
          <w:lang w:val="en-US" w:eastAsia="zh-CN" w:bidi="ar-SA"/>
        </w:rPr>
        <w:t>取本品粉末0.5g，加水5ml，浸泡，滤过，滤液置试管中，加α-萘酚试液数滴，摇匀，沿管壁缓缓滴加硫酸1ml，两液接界处出现紫色环。取本品粗粉5g，加三氯甲烷30ml，振摇，放置过夜，滤过，滤液蒸干，残渣加乙酸乙酯2ml使溶解，作为供试品溶液。另取莲子对照药材5g，同法制成对照药材溶液。照薄层色谱法（通则0502）试验，吸取两种溶液各2μl，分别点于同一硅胶G薄层板上，以正己烷-丙酮（7∶2）为展开剂，展开，取出，晾干，喷以5%香草醛的10%硫酸乙醇溶液，在105℃加热至斑点显色清晰。供试品色谱中，在与对照药材色谱相应的位置上，显相同颜色的斑点。</w:t>
      </w:r>
    </w:p>
    <w:p w14:paraId="0ACC243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 检查</w:t>
      </w:r>
    </w:p>
    <w:p w14:paraId="5C42595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4.4.1 水分</w:t>
      </w:r>
    </w:p>
    <w:p w14:paraId="5FADC72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0832第二法，水分不得过14%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03E4815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4.4.2 总灰分</w:t>
      </w:r>
    </w:p>
    <w:p w14:paraId="247A833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2302，总灰分不得过5%。</w:t>
      </w:r>
    </w:p>
    <w:p w14:paraId="31D5B9B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4.4.3 </w:t>
      </w: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黄曲霉毒素</w:t>
      </w:r>
    </w:p>
    <w:p w14:paraId="0B77BF7F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通则2351</w:t>
      </w:r>
      <w:r>
        <w:rPr>
          <w:rFonts w:hint="eastAsia" w:cs="宋体"/>
          <w:bCs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莲子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每1000g含黄曲霉毒素B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不得过5µg，黄曲霉毒素G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、黄曲霉毒素G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、黄曲霉毒素B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和黄曲霉毒素B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的总量不得过10µg。</w:t>
      </w:r>
    </w:p>
    <w:p w14:paraId="198E59E6">
      <w:pPr>
        <w:pStyle w:val="3"/>
        <w:snapToGrid/>
        <w:spacing w:before="120" w:beforeLines="50" w:after="120" w:afterLines="50"/>
        <w:jc w:val="both"/>
        <w:rPr>
          <w:rFonts w:hint="eastAsia" w:ascii="黑体" w:hAnsi="黑体" w:eastAsia="黑体"/>
          <w:bCs/>
          <w:color w:val="auto"/>
          <w:sz w:val="21"/>
          <w:szCs w:val="21"/>
        </w:rPr>
      </w:pPr>
      <w:r>
        <w:rPr>
          <w:rFonts w:hint="eastAsia" w:ascii="黑体" w:hAnsi="黑体" w:eastAsia="黑体"/>
          <w:bCs/>
          <w:color w:val="auto"/>
          <w:sz w:val="21"/>
          <w:szCs w:val="21"/>
        </w:rPr>
        <w:t>4.4.4 二氧化硫残留</w:t>
      </w:r>
    </w:p>
    <w:p w14:paraId="63CE52C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</w:rPr>
      </w:pP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照二氧化硫残留量测定法（《中华人民共和国药典》2020年版通则2331）测定，不得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过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150mg/kg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B439437">
      <w:pPr>
        <w:pStyle w:val="3"/>
        <w:snapToGrid/>
        <w:spacing w:before="120" w:beforeLines="50" w:after="120" w:afterLines="50"/>
        <w:jc w:val="both"/>
        <w:rPr>
          <w:rFonts w:hint="default" w:ascii="黑体" w:hAnsi="黑体" w:eastAsia="黑体"/>
          <w:bCs/>
          <w:color w:val="auto"/>
          <w:sz w:val="21"/>
          <w:szCs w:val="21"/>
          <w:lang w:val="en-US" w:eastAsia="zh-CN"/>
        </w:rPr>
      </w:pPr>
      <w:bookmarkStart w:id="21" w:name="_Toc21136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4.4.5 重金属</w:t>
      </w:r>
      <w:bookmarkEnd w:id="21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残留</w:t>
      </w:r>
    </w:p>
    <w:p w14:paraId="486BDA3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照</w:t>
      </w:r>
      <w:r>
        <w:rPr>
          <w:rFonts w:hint="default" w:ascii="宋体" w:hAnsi="宋体" w:cs="Times New Roman" w:eastAsiaTheme="minorEastAsia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《中华人民共和国药典》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2020版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通则2321原子吸收分光光度法或电感耦合等离子体质谱法测定，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铅不得过10mg/kg；镉不得过1mg/kg；砷不得过5mg/kg；汞不得过1mg/kg；铜不得过20mg/kg。</w:t>
      </w:r>
    </w:p>
    <w:p w14:paraId="063B4284">
      <w:pPr>
        <w:pStyle w:val="3"/>
        <w:snapToGrid/>
        <w:spacing w:before="120" w:beforeLines="50" w:after="120" w:afterLines="50"/>
        <w:jc w:val="both"/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</w:pPr>
      <w:bookmarkStart w:id="22" w:name="_Toc10374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4.4.6 农药残留</w:t>
      </w:r>
      <w:bookmarkEnd w:id="22"/>
    </w:p>
    <w:p w14:paraId="5AA6B1E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auto"/>
          <w:sz w:val="21"/>
          <w:szCs w:val="21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照《中华人民共和国药典》2020年版通则0212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中列出的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农药残留不得检出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。</w:t>
      </w:r>
    </w:p>
    <w:p w14:paraId="5DCCAEC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4.5 质量控制</w:t>
      </w:r>
    </w:p>
    <w:p w14:paraId="1ABDA10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4.5.1 可追溯</w:t>
      </w:r>
    </w:p>
    <w:p w14:paraId="1E4D1EA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建莲子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应实现中药材生产全过程可追溯，并通过第三方溯源评价。</w:t>
      </w:r>
    </w:p>
    <w:p w14:paraId="16174ED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4.5.2 </w:t>
      </w:r>
      <w:r>
        <w:rPr>
          <w:rFonts w:hint="eastAsia" w:ascii="宋体" w:hAnsi="宋体" w:eastAsia="黑体"/>
          <w:bCs/>
          <w:color w:val="auto"/>
          <w:sz w:val="21"/>
          <w:szCs w:val="21"/>
          <w:lang w:val="en-US" w:eastAsia="zh-CN"/>
        </w:rPr>
        <w:t>药材生产管理规范</w:t>
      </w:r>
    </w:p>
    <w:p w14:paraId="1AD865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建莲子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应符合中药材GAP管理要求，并通过GAP备案或延伸检查。</w:t>
      </w:r>
    </w:p>
    <w:p w14:paraId="4893340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4.5.3 道地药材</w:t>
      </w:r>
    </w:p>
    <w:p w14:paraId="00A2789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建莲子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应符合道地药材要求，并通过第三方道地药材认证。</w:t>
      </w:r>
    </w:p>
    <w:p w14:paraId="280D460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4.6 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>等级及集采要求</w:t>
      </w:r>
    </w:p>
    <w:p w14:paraId="1FC49BC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建莲子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统货、选货、精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莲子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具体要求见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表1。</w:t>
      </w:r>
    </w:p>
    <w:tbl>
      <w:tblPr>
        <w:tblStyle w:val="8"/>
        <w:tblW w:w="97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783"/>
        <w:gridCol w:w="2280"/>
        <w:gridCol w:w="1903"/>
        <w:gridCol w:w="2293"/>
      </w:tblGrid>
      <w:tr w14:paraId="0663C9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EEC08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表1 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</w:rPr>
              <w:br w:type="page"/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lang w:val="en-US" w:eastAsia="zh-CN"/>
              </w:rPr>
              <w:t>道地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1"/>
                <w:szCs w:val="21"/>
                <w:lang w:bidi="ar"/>
              </w:rPr>
              <w:t>药材集采交易标准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1"/>
                <w:szCs w:val="21"/>
                <w:lang w:val="en-US" w:eastAsia="zh-CN" w:bidi="ar"/>
              </w:rPr>
              <w:t xml:space="preserve"> 建莲子</w:t>
            </w:r>
          </w:p>
        </w:tc>
      </w:tr>
      <w:tr w14:paraId="6C04C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2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571D47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37D6D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24F16E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12D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D56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A2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</w:t>
            </w: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/>
                <w:sz w:val="18"/>
                <w:szCs w:val="18"/>
                <w:highlight w:val="none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</w:t>
            </w:r>
          </w:p>
        </w:tc>
      </w:tr>
      <w:tr w14:paraId="79B82D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A87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来源</w:t>
            </w:r>
          </w:p>
          <w:p w14:paraId="7D62B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4497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种源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A161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睡莲科植物莲 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u w:val="none"/>
                <w:lang w:val="en-US" w:eastAsia="zh-CN"/>
              </w:rPr>
              <w:t xml:space="preserve">Nelumbo nucifera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Gaertn.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。</w:t>
            </w:r>
          </w:p>
        </w:tc>
      </w:tr>
      <w:tr w14:paraId="3CB35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7E44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0E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药用部位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295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干燥成熟种子</w:t>
            </w:r>
          </w:p>
        </w:tc>
      </w:tr>
      <w:tr w14:paraId="1F58E5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688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9B36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采收时间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C6C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秋季果实成熟时</w:t>
            </w:r>
          </w:p>
        </w:tc>
      </w:tr>
      <w:tr w14:paraId="2D7A42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89BE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4DA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产地加工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208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取出果实，除去果皮，干燥，或除去莲子心后干燥</w:t>
            </w:r>
          </w:p>
        </w:tc>
      </w:tr>
      <w:tr w14:paraId="0901A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11F7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06B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产地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B985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以福建省武夷山麓中段及武夷山南麓、闽西北山区盆地为中心，核心区域包括建宁县、南平市建阳建瓯县及其周边地区</w:t>
            </w:r>
          </w:p>
        </w:tc>
      </w:tr>
      <w:tr w14:paraId="0F2B1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7F31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性状</w:t>
            </w:r>
          </w:p>
          <w:p w14:paraId="2CA079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699A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形状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FC2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略呈椭圆形或类球形，一端中心呈乳头状突起，多有裂口，其周边略下陷</w:t>
            </w:r>
          </w:p>
        </w:tc>
      </w:tr>
      <w:tr w14:paraId="570658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2E42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25D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气味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E078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气微、微涩、味甘，莲子心苦</w:t>
            </w:r>
          </w:p>
        </w:tc>
      </w:tr>
      <w:tr w14:paraId="7196E9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D950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8EBC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宽度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00D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D5F9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8~11mm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F025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不得低于11mm</w:t>
            </w:r>
          </w:p>
        </w:tc>
      </w:tr>
      <w:tr w14:paraId="1F0ECC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57E1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4A6A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质地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5A4D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质地坚硬</w:t>
            </w:r>
          </w:p>
        </w:tc>
      </w:tr>
      <w:tr w14:paraId="334F2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8158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704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表面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A765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表面浅黄棕色至红棕色，有细纵纹和较宽的脉纹</w:t>
            </w:r>
          </w:p>
        </w:tc>
      </w:tr>
      <w:tr w14:paraId="153B23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348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鉴别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A660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鉴别（1）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E1A4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本品粉末类白色。主为淀粉粒，单粒长圆形、类圆形、卵圆形或类三角形，有的具小尖突，直径4～25μm，脐点少数可见，裂缝状或点状；复粒稀少，由2～3分粒组成。色素层细胞黄棕色或红棕色，表面观呈类长方形、类长多角形或类圆形，有的可见草酸钙簇晶。子叶细胞呈长圆形，壁稍厚，有的呈连珠状，隐约可见纹孔域。可见螺纹导管和环纹导管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06501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AE52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709A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鉴别（2）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2A4F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取本品粉末少许，加水适量，混匀，加碘试液数滴，呈蓝紫色，加热后逐渐褪色，放冷，蓝紫色复现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24954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9D9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EE1E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鉴别（3）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2AB8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取本品粉末0.5g，加水5ml，浸泡，滤过，滤液置试管中，加α-萘酚试液数滴，摇匀，沿管壁缓缓滴加硫酸1ml，两液接界处出现紫色环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16325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282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4025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鉴别（4）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B870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取本品粗粉5g，加三氯甲烷30ml，振摇，放置过夜，滤过，滤液蒸干，残渣加乙酸乙酯2ml使溶解，作为供试品溶液。另取莲子对照药材5g，同法制成对照药材溶液。照薄层色谱法（通则0502）试验，吸取两种溶液各2μl，分别点于同一硅胶G薄层板上，以正己烷-丙酮（7∶2）为展开剂，展开，取出，晾干，喷以5%香草醛的10%硫酸乙醇溶液，在105℃加热至斑点显色清晰。供试品色谱中，在与对照药材色谱相应的位置上，显相同颜色的斑点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22DF0E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6A7C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检查</w:t>
            </w:r>
          </w:p>
          <w:p w14:paraId="4ED83B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70FF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水分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F328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不得过14%</w:t>
            </w:r>
          </w:p>
        </w:tc>
      </w:tr>
      <w:tr w14:paraId="6AB58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5E3C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6C8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总灰分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C50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不得过5%</w:t>
            </w:r>
          </w:p>
        </w:tc>
      </w:tr>
      <w:tr w14:paraId="01340A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8BFC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FBCDB2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黄曲霉毒素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45C2E7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每1000g含黄曲霉毒素B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不得过5µg，黄曲霉毒素G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、黄曲霉毒素G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、黄曲霉毒素B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和黄曲霉毒素B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的总量不得过10µg</w:t>
            </w:r>
            <w:r>
              <w:rPr>
                <w:rFonts w:hint="eastAsia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eastAsia="zh-CN"/>
              </w:rPr>
              <w:t>。</w:t>
            </w:r>
          </w:p>
        </w:tc>
      </w:tr>
      <w:tr w14:paraId="41680B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D7F4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434F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*农药残留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960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《中华人民共和国药典》2020年版规定的农残不得检出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66388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F6C2C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8EF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*二氧化硫残留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6D09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不得过150mg/kg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4638A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7AFE7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3CC8B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*重金属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残留</w:t>
            </w:r>
          </w:p>
        </w:tc>
        <w:tc>
          <w:tcPr>
            <w:tcW w:w="6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BBC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铅不得过10mg/kg；镉不得过1mg/kg；砷不得过5mg/kg；汞不得过1mg/kg；铜不得过20mg/kg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451E2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FDA8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742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可追溯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EC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通过第三方溯源评价</w:t>
            </w:r>
          </w:p>
        </w:tc>
      </w:tr>
      <w:tr w14:paraId="7961B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2BAC6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6AF4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GAP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BFC1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017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368D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GAP备案</w:t>
            </w:r>
            <w:r>
              <w:rPr>
                <w:rFonts w:hint="eastAsia" w:ascii="宋体" w:hAnsi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延伸</w:t>
            </w: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审查通过</w:t>
            </w:r>
          </w:p>
        </w:tc>
      </w:tr>
      <w:tr w14:paraId="05653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17FE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753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道地药材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C2258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056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82BF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道地药材认证</w:t>
            </w:r>
          </w:p>
        </w:tc>
      </w:tr>
      <w:bookmarkEnd w:id="20"/>
    </w:tbl>
    <w:p w14:paraId="5D821E4B">
      <w:pPr>
        <w:rPr>
          <w:rFonts w:ascii="黑体" w:hAnsi="黑体" w:eastAsia="黑体"/>
          <w:strike/>
          <w:color w:val="000000"/>
          <w:szCs w:val="21"/>
        </w:rPr>
      </w:pPr>
      <w:bookmarkStart w:id="23" w:name="_Toc29162"/>
      <w:bookmarkStart w:id="24" w:name="_Toc5517"/>
      <w:bookmarkStart w:id="25" w:name="_Toc5990"/>
      <w:bookmarkStart w:id="26" w:name="_Toc23232"/>
      <w:bookmarkStart w:id="27" w:name="_Toc25235"/>
      <w:bookmarkStart w:id="28" w:name="_Toc17181"/>
      <w:bookmarkStart w:id="29" w:name="_Toc501701529"/>
      <w:r>
        <w:rPr>
          <w:rFonts w:hint="eastAsia" w:ascii="宋体" w:hAnsi="宋体" w:eastAsia="宋体" w:cs="宋体"/>
          <w:strike/>
          <w:color w:val="000000"/>
          <w:sz w:val="18"/>
          <w:szCs w:val="18"/>
        </w:rPr>
        <w:br w:type="page"/>
      </w:r>
    </w:p>
    <w:p w14:paraId="16069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0"/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附录A</w:t>
      </w:r>
    </w:p>
    <w:p w14:paraId="728CD6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0"/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（规范性附录）</w:t>
      </w:r>
    </w:p>
    <w:p w14:paraId="7831B96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建莲子集采交易规格等级性状图</w:t>
      </w:r>
    </w:p>
    <w:p w14:paraId="6B41258A">
      <w:pPr>
        <w:pStyle w:val="3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center"/>
        <w:rPr>
          <w:rFonts w:hint="default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</w:p>
    <w:p w14:paraId="5333C933">
      <w:pPr>
        <w:pStyle w:val="3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center"/>
        <w:rPr>
          <w:rFonts w:hint="default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default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drawing>
          <wp:inline distT="0" distB="0" distL="114300" distR="114300">
            <wp:extent cx="5969000" cy="4068445"/>
            <wp:effectExtent l="0" t="0" r="0" b="0"/>
            <wp:docPr id="9" name="图片 9" descr="75-莲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5-莲子"/>
                    <pic:cNvPicPr>
                      <a:picLocks noChangeAspect="1"/>
                    </pic:cNvPicPr>
                  </pic:nvPicPr>
                  <pic:blipFill>
                    <a:blip r:embed="rId14"/>
                    <a:srcRect l="2185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4068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3"/>
    <w:bookmarkEnd w:id="24"/>
    <w:bookmarkEnd w:id="25"/>
    <w:bookmarkEnd w:id="26"/>
    <w:bookmarkEnd w:id="27"/>
    <w:bookmarkEnd w:id="28"/>
    <w:p w14:paraId="6B45AD42">
      <w:pPr>
        <w:pStyle w:val="2"/>
        <w:spacing w:line="360" w:lineRule="auto"/>
        <w:ind w:left="0" w:firstLine="420" w:firstLineChars="200"/>
        <w:jc w:val="center"/>
        <w:rPr>
          <w:rFonts w:hint="default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 w:cs="黑体"/>
          <w:strike w:val="0"/>
          <w:color w:val="000000"/>
          <w:sz w:val="21"/>
          <w:szCs w:val="21"/>
          <w:highlight w:val="none"/>
          <w:lang w:val="en-US" w:eastAsia="zh-CN"/>
        </w:rPr>
        <w:t>图A1莲子规格等级性状图</w:t>
      </w:r>
    </w:p>
    <w:p w14:paraId="1166F3FC">
      <w:pPr>
        <w:pStyle w:val="2"/>
        <w:spacing w:line="360" w:lineRule="auto"/>
        <w:ind w:left="0" w:firstLine="420" w:firstLineChars="200"/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sectPr>
          <w:headerReference r:id="rId8" w:type="default"/>
          <w:footerReference r:id="rId9" w:type="default"/>
          <w:footerReference r:id="rId10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29"/>
    <w:p w14:paraId="456AE23F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ascii="黑体" w:hAnsi="黑体" w:eastAsia="黑体" w:cs="宋体"/>
          <w:color w:val="auto"/>
          <w:sz w:val="21"/>
          <w:szCs w:val="21"/>
        </w:rPr>
      </w:pPr>
      <w:bookmarkStart w:id="30" w:name="_Toc16858"/>
      <w:bookmarkStart w:id="31" w:name="_Toc30293"/>
      <w:bookmarkStart w:id="32" w:name="_Toc7443"/>
      <w:bookmarkStart w:id="33" w:name="_Toc25047693"/>
      <w:bookmarkStart w:id="34" w:name="_Toc15722"/>
      <w:bookmarkStart w:id="35" w:name="_Toc26118"/>
      <w:bookmarkStart w:id="36" w:name="_Toc27406"/>
      <w:bookmarkStart w:id="37" w:name="_Toc9701"/>
      <w:r>
        <w:rPr>
          <w:rFonts w:hint="eastAsia" w:ascii="黑体" w:hAnsi="黑体" w:eastAsia="黑体" w:cs="宋体"/>
          <w:color w:val="auto"/>
          <w:sz w:val="21"/>
          <w:szCs w:val="21"/>
        </w:rPr>
        <w:t>参考文献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0CE351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[1] 全国人民代表大会常务委员会.中华人民共和国中医药法[M].北京:法律出版社,2017.</w:t>
      </w:r>
    </w:p>
    <w:p w14:paraId="10851F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[2] 国家药典委员会.中华人民共和国药典[M].北京:中国医药科技出版社,2020.</w:t>
      </w:r>
    </w:p>
    <w:p w14:paraId="24127E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[3] 黄璐琦,郭兰萍,詹志来,等.中药材商品规格等级标准编制通则[S].北京:中国医药科技出版社,2018.</w:t>
      </w:r>
    </w:p>
    <w:p w14:paraId="0F6B88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[4] 彭成.中华道地药材[M].中国中医药出版社,2013.</w:t>
      </w:r>
    </w:p>
    <w:p w14:paraId="7FCE4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[5] 肖小河,黄璐琦.中药材商品规格标准化研究[M].人民卫生出版社,2016.</w:t>
      </w:r>
    </w:p>
    <w:p w14:paraId="04713E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[6] 黄璐琦,詹志来,郭兰萍,等.中药材商品规格等级标准汇编[G].中国中医药出版社,2019.</w:t>
      </w:r>
    </w:p>
    <w:p w14:paraId="43ECC5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[7] 黄璐琦.道地药材品质保证技术研究[M].上海科学技术出版社,2017.</w:t>
      </w:r>
    </w:p>
    <w:p w14:paraId="0A6871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eastAsia" w:ascii="宋体" w:hAnsi="宋体" w:eastAsia="宋体" w:cs="宋体"/>
          <w:color w:val="auto"/>
        </w:rPr>
        <w:t>[8] 黄璐琦.《新编中国药材学》[M].中国医药科技出版社,2020.</w:t>
      </w:r>
    </w:p>
    <w:p w14:paraId="6E5C6CB5">
      <w:pPr>
        <w:tabs>
          <w:tab w:val="left" w:pos="6408"/>
        </w:tabs>
        <w:jc w:val="left"/>
      </w:pPr>
      <w:r>
        <w:rPr>
          <w:rFonts w:hint="eastAsia"/>
        </w:rPr>
        <w:tab/>
      </w:r>
    </w:p>
    <w:p w14:paraId="6BD41020"/>
    <w:sectPr>
      <w:footerReference r:id="rId11" w:type="default"/>
      <w:footerReference r:id="rId12" w:type="even"/>
      <w:pgSz w:w="11906" w:h="16838"/>
      <w:pgMar w:top="1417" w:right="1134" w:bottom="1134" w:left="1417" w:header="1191" w:footer="79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67C3CD">
    <w:pPr>
      <w:pStyle w:val="3"/>
      <w:ind w:firstLine="360"/>
      <w:jc w:val="right"/>
    </w:pPr>
  </w:p>
  <w:p w14:paraId="4D03AD9B">
    <w:pPr>
      <w:pStyle w:val="3"/>
      <w:ind w:left="-283" w:leftChars="-135"/>
      <w:jc w:val="right"/>
    </w:pPr>
  </w:p>
  <w:p w14:paraId="658FD24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316031">
    <w:pPr>
      <w:pStyle w:val="3"/>
      <w:rPr>
        <w:rFonts w:ascii="宋体" w:hAnsi="宋体"/>
      </w:rPr>
    </w:pPr>
  </w:p>
  <w:p w14:paraId="4F97FC29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DEE6DF">
    <w:pPr>
      <w:pStyle w:val="3"/>
      <w:ind w:left="-283" w:leftChars="-135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E97BB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R3mOY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1HeY5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BE97BB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2B1F22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34D18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934D18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505D2B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5856605</wp:posOffset>
              </wp:positionH>
              <wp:positionV relativeFrom="paragraph">
                <wp:posOffset>-63500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6B1B41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61.15pt;margin-top:-5pt;height:18.5pt;width:20.1pt;mso-position-horizontal-relative:margin;z-index:251665408;mso-width-relative:page;mso-height-relative:page;" filled="f" stroked="f" coordsize="21600,21600" o:gfxdata="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9ESaJ2QAAAAoBAAAPAAAAAAAAAAEAIAAAACIAAABkcnMvZG93bnJldi54bWxQSwEC&#10;FAAUAAAACACHTuJAUEobhLoBAABxAwAADgAAAAAAAAABACAAAAAo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16B1B41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CD963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79349989"/>
                          </w:sdtPr>
                          <w:sdtContent>
                            <w:p w14:paraId="35F21E3A">
                              <w:pPr>
                                <w:pStyle w:val="3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14:paraId="02F5714F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7052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EhxuI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ESHG4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79349989"/>
                    </w:sdtPr>
                    <w:sdtContent>
                      <w:p w14:paraId="35F21E3A">
                        <w:pPr>
                          <w:pStyle w:val="3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8</w:t>
                        </w:r>
                        <w:r>
                          <w:fldChar w:fldCharType="end"/>
                        </w:r>
                      </w:p>
                    </w:sdtContent>
                  </w:sdt>
                  <w:p w14:paraId="02F5714F"/>
                </w:txbxContent>
              </v:textbox>
            </v:shape>
          </w:pict>
        </mc:Fallback>
      </mc:AlternateContent>
    </w:r>
  </w:p>
  <w:p w14:paraId="76AE5167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26320F">
    <w:pPr>
      <w:pStyle w:val="17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588BD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7588BD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DE6636">
    <w:pPr>
      <w:pStyle w:val="4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0001.19-2024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1F6DAC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A80B8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BA80B8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432CFF">
    <w:pPr>
      <w:pStyle w:val="4"/>
      <w:pBdr>
        <w:bottom w:val="none" w:color="auto" w:sz="0" w:space="1"/>
      </w:pBdr>
      <w:jc w:val="right"/>
      <w:rPr>
        <w:rFonts w:hint="default" w:eastAsia="黑体"/>
        <w:lang w:val="en-US" w:eastAsia="zh-CN"/>
      </w:rPr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0001.19-2024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  <w:docVar w:name="KSO_WPS_MARK_KEY" w:val="b075aa11-0f7b-4310-9131-b54b8af2a10b"/>
  </w:docVars>
  <w:rsids>
    <w:rsidRoot w:val="00172A27"/>
    <w:rsid w:val="056E1468"/>
    <w:rsid w:val="063371B0"/>
    <w:rsid w:val="07BC60B3"/>
    <w:rsid w:val="07D478A0"/>
    <w:rsid w:val="09B174F4"/>
    <w:rsid w:val="0B274888"/>
    <w:rsid w:val="0C3B6928"/>
    <w:rsid w:val="0D295F98"/>
    <w:rsid w:val="0E997699"/>
    <w:rsid w:val="1586245D"/>
    <w:rsid w:val="15B2766E"/>
    <w:rsid w:val="16384616"/>
    <w:rsid w:val="186662F2"/>
    <w:rsid w:val="1B78507E"/>
    <w:rsid w:val="1C387FA6"/>
    <w:rsid w:val="22885DA6"/>
    <w:rsid w:val="23492C57"/>
    <w:rsid w:val="23560112"/>
    <w:rsid w:val="295403E9"/>
    <w:rsid w:val="2D9C3F56"/>
    <w:rsid w:val="31500B64"/>
    <w:rsid w:val="32056A6A"/>
    <w:rsid w:val="32C17FEA"/>
    <w:rsid w:val="39455658"/>
    <w:rsid w:val="3B131EB2"/>
    <w:rsid w:val="3F2B2B06"/>
    <w:rsid w:val="3F5323E5"/>
    <w:rsid w:val="4BC25BB3"/>
    <w:rsid w:val="4CE90448"/>
    <w:rsid w:val="4E1C64F6"/>
    <w:rsid w:val="4E4B6454"/>
    <w:rsid w:val="4ED2127B"/>
    <w:rsid w:val="4F145070"/>
    <w:rsid w:val="5073598C"/>
    <w:rsid w:val="53782847"/>
    <w:rsid w:val="549903A5"/>
    <w:rsid w:val="54CF4008"/>
    <w:rsid w:val="556B21D1"/>
    <w:rsid w:val="595F389D"/>
    <w:rsid w:val="5C593045"/>
    <w:rsid w:val="5D2D6150"/>
    <w:rsid w:val="5D4F6922"/>
    <w:rsid w:val="5DDF7B22"/>
    <w:rsid w:val="5EF8103C"/>
    <w:rsid w:val="5F8A1E93"/>
    <w:rsid w:val="608F09ED"/>
    <w:rsid w:val="60BC6960"/>
    <w:rsid w:val="62A22F73"/>
    <w:rsid w:val="63B759FB"/>
    <w:rsid w:val="6655667C"/>
    <w:rsid w:val="68325CE2"/>
    <w:rsid w:val="6CDE5AE0"/>
    <w:rsid w:val="6DFF4979"/>
    <w:rsid w:val="6E1D2124"/>
    <w:rsid w:val="6E3525FA"/>
    <w:rsid w:val="70F15DA2"/>
    <w:rsid w:val="71D36D7A"/>
    <w:rsid w:val="745E3F84"/>
    <w:rsid w:val="746F2FAE"/>
    <w:rsid w:val="778114D4"/>
    <w:rsid w:val="78E221EE"/>
    <w:rsid w:val="7A931905"/>
    <w:rsid w:val="7D0A619A"/>
    <w:rsid w:val="7ECB2B72"/>
    <w:rsid w:val="7EE97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</w:style>
  <w:style w:type="paragraph" w:styleId="6">
    <w:name w:val="toc 2"/>
    <w:basedOn w:val="1"/>
    <w:next w:val="1"/>
    <w:autoRedefine/>
    <w:qFormat/>
    <w:uiPriority w:val="39"/>
    <w:pPr>
      <w:ind w:left="420" w:leftChars="200"/>
    </w:pPr>
  </w:style>
  <w:style w:type="paragraph" w:styleId="7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0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1">
    <w:name w:val="实施日期"/>
    <w:basedOn w:val="12"/>
    <w:autoRedefine/>
    <w:qFormat/>
    <w:uiPriority w:val="0"/>
    <w:pPr>
      <w:framePr w:wrap="around" w:vAnchor="page" w:hAnchor="text"/>
      <w:jc w:val="right"/>
    </w:pPr>
  </w:style>
  <w:style w:type="paragraph" w:customStyle="1" w:styleId="12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3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5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6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7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8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.jpeg"/><Relationship Id="rId13" Type="http://schemas.openxmlformats.org/officeDocument/2006/relationships/theme" Target="theme/theme1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2607</Words>
  <Characters>3131</Characters>
  <Lines>0</Lines>
  <Paragraphs>0</Paragraphs>
  <TotalTime>0</TotalTime>
  <ScaleCrop>false</ScaleCrop>
  <LinksUpToDate>false</LinksUpToDate>
  <CharactersWithSpaces>3199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ED454E4E20FE4469A237004C437FDA4E_13</vt:lpwstr>
  </property>
</Properties>
</file>