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771585">
      <w:pPr>
        <w:ind w:right="-313" w:rightChars="-149"/>
        <w:jc w:val="left"/>
        <w:rPr>
          <w:rFonts w:ascii="黑体" w:hAnsi="黑体" w:eastAsia="黑体"/>
          <w:bCs/>
          <w:color w:val="auto"/>
          <w:szCs w:val="21"/>
          <w:highlight w:val="none"/>
        </w:rPr>
      </w:pPr>
      <w:r>
        <w:rPr>
          <w:rFonts w:ascii="黑体" w:hAnsi="黑体" w:eastAsia="黑体"/>
          <w:bCs/>
          <w:color w:val="auto"/>
          <w:szCs w:val="21"/>
          <w:highlight w:val="none"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>
                <wp:simplePos x="0" y="0"/>
                <wp:positionH relativeFrom="margin">
                  <wp:posOffset>-243205</wp:posOffset>
                </wp:positionH>
                <wp:positionV relativeFrom="margin">
                  <wp:posOffset>-405765</wp:posOffset>
                </wp:positionV>
                <wp:extent cx="1571625" cy="657860"/>
                <wp:effectExtent l="0" t="0" r="13335" b="12700"/>
                <wp:wrapNone/>
                <wp:docPr id="14" name="fmFram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1625" cy="657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1776315">
                            <w:pPr>
                              <w:pStyle w:val="16"/>
                              <w:rPr>
                                <w:rFonts w:cs="黑体"/>
                              </w:rPr>
                            </w:pPr>
                            <w:r>
                              <w:rPr>
                                <w:rFonts w:cs="黑体"/>
                              </w:rPr>
                              <w:t xml:space="preserve">ICS </w:t>
                            </w:r>
                            <w:r>
                              <w:rPr>
                                <w:rFonts w:hint="eastAsia" w:cs="黑体"/>
                              </w:rPr>
                              <w:t>03</w:t>
                            </w:r>
                            <w:r>
                              <w:rPr>
                                <w:rFonts w:cs="黑体"/>
                              </w:rPr>
                              <w:t>.</w:t>
                            </w:r>
                            <w:r>
                              <w:rPr>
                                <w:rFonts w:hint="eastAsia" w:cs="黑体"/>
                              </w:rPr>
                              <w:t>120</w:t>
                            </w:r>
                            <w:r>
                              <w:rPr>
                                <w:rFonts w:cs="黑体"/>
                              </w:rPr>
                              <w:t>.</w:t>
                            </w:r>
                            <w:r>
                              <w:rPr>
                                <w:rFonts w:hint="eastAsia" w:cs="黑体"/>
                              </w:rPr>
                              <w:t>20</w:t>
                            </w:r>
                          </w:p>
                          <w:p w14:paraId="342BD83C">
                            <w:pPr>
                              <w:pStyle w:val="16"/>
                              <w:rPr>
                                <w:rFonts w:cs="黑体"/>
                              </w:rPr>
                            </w:pPr>
                            <w:r>
                              <w:rPr>
                                <w:rFonts w:cs="黑体"/>
                              </w:rPr>
                              <w:t>A</w:t>
                            </w:r>
                            <w:r>
                              <w:rPr>
                                <w:rFonts w:hint="eastAsia" w:cs="黑体"/>
                              </w:rPr>
                              <w:t xml:space="preserve"> </w:t>
                            </w:r>
                            <w:r>
                              <w:rPr>
                                <w:rFonts w:cs="黑体"/>
                              </w:rPr>
                              <w:t>00</w:t>
                            </w:r>
                          </w:p>
                          <w:p w14:paraId="165C98A6">
                            <w:pPr>
                              <w:pStyle w:val="16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</w:pBdr>
                              <w:rPr>
                                <w:rFonts w:cs="黑体"/>
                              </w:rPr>
                            </w:pPr>
                            <w:r>
                              <w:rPr>
                                <w:rFonts w:hint="eastAsia" w:cs="黑体"/>
                              </w:rPr>
                              <w:t>备案号：</w:t>
                            </w:r>
                            <w:r>
                              <w:rPr>
                                <w:rFonts w:cs="黑体"/>
                              </w:rPr>
                              <w:t>XXXX-XXXX</w:t>
                            </w:r>
                          </w:p>
                          <w:p w14:paraId="78BCD5C9">
                            <w:pPr>
                              <w:pStyle w:val="16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1" o:spid="_x0000_s1026" o:spt="202" type="#_x0000_t202" style="position:absolute;left:0pt;margin-left:-19.15pt;margin-top:-31.95pt;height:51.8pt;width:123.75pt;mso-position-horizontal-relative:margin;mso-position-vertical-relative:margin;z-index:251663360;mso-width-relative:page;mso-height-relative:page;" fillcolor="#FFFFFF" filled="t" stroked="f" coordsize="21600,21600" o:gfxdata="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w99zi2gAAAAoBAAAPAAAAAAAA&#10;AAEAIAAAACIAAABkcnMvZG93bnJldi54bWxQSwECFAAUAAAACACHTuJApkXqbxACAAAsBAAADgAA&#10;AAAAAAABACAAAAApAQAAZHJzL2Uyb0RvYy54bWxQSwUGAAAAAAYABgBZAQAAqwU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11776315">
                      <w:pPr>
                        <w:pStyle w:val="16"/>
                        <w:rPr>
                          <w:rFonts w:cs="黑体"/>
                        </w:rPr>
                      </w:pPr>
                      <w:r>
                        <w:rPr>
                          <w:rFonts w:cs="黑体"/>
                        </w:rPr>
                        <w:t xml:space="preserve">ICS </w:t>
                      </w:r>
                      <w:r>
                        <w:rPr>
                          <w:rFonts w:hint="eastAsia" w:cs="黑体"/>
                        </w:rPr>
                        <w:t>03</w:t>
                      </w:r>
                      <w:r>
                        <w:rPr>
                          <w:rFonts w:cs="黑体"/>
                        </w:rPr>
                        <w:t>.</w:t>
                      </w:r>
                      <w:r>
                        <w:rPr>
                          <w:rFonts w:hint="eastAsia" w:cs="黑体"/>
                        </w:rPr>
                        <w:t>120</w:t>
                      </w:r>
                      <w:r>
                        <w:rPr>
                          <w:rFonts w:cs="黑体"/>
                        </w:rPr>
                        <w:t>.</w:t>
                      </w:r>
                      <w:r>
                        <w:rPr>
                          <w:rFonts w:hint="eastAsia" w:cs="黑体"/>
                        </w:rPr>
                        <w:t>20</w:t>
                      </w:r>
                    </w:p>
                    <w:p w14:paraId="342BD83C">
                      <w:pPr>
                        <w:pStyle w:val="16"/>
                        <w:rPr>
                          <w:rFonts w:cs="黑体"/>
                        </w:rPr>
                      </w:pPr>
                      <w:r>
                        <w:rPr>
                          <w:rFonts w:cs="黑体"/>
                        </w:rPr>
                        <w:t>A</w:t>
                      </w:r>
                      <w:r>
                        <w:rPr>
                          <w:rFonts w:hint="eastAsia" w:cs="黑体"/>
                        </w:rPr>
                        <w:t xml:space="preserve"> </w:t>
                      </w:r>
                      <w:r>
                        <w:rPr>
                          <w:rFonts w:cs="黑体"/>
                        </w:rPr>
                        <w:t>00</w:t>
                      </w:r>
                    </w:p>
                    <w:p w14:paraId="165C98A6">
                      <w:pPr>
                        <w:pStyle w:val="16"/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</w:pBdr>
                        <w:rPr>
                          <w:rFonts w:cs="黑体"/>
                        </w:rPr>
                      </w:pPr>
                      <w:r>
                        <w:rPr>
                          <w:rFonts w:hint="eastAsia" w:cs="黑体"/>
                        </w:rPr>
                        <w:t>备案号：</w:t>
                      </w:r>
                      <w:r>
                        <w:rPr>
                          <w:rFonts w:cs="黑体"/>
                        </w:rPr>
                        <w:t>XXXX-XXXX</w:t>
                      </w:r>
                    </w:p>
                    <w:p w14:paraId="78BCD5C9">
                      <w:pPr>
                        <w:pStyle w:val="16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6E618F92">
      <w:pPr>
        <w:jc w:val="left"/>
        <w:rPr>
          <w:rFonts w:ascii="宋体" w:hAnsi="宋体"/>
          <w:bCs/>
          <w:color w:val="auto"/>
          <w:sz w:val="32"/>
          <w:szCs w:val="32"/>
          <w:highlight w:val="none"/>
        </w:rPr>
      </w:pPr>
    </w:p>
    <w:p w14:paraId="6884D26A">
      <w:pPr>
        <w:jc w:val="left"/>
        <w:rPr>
          <w:rFonts w:ascii="宋体" w:hAnsi="宋体"/>
          <w:bCs/>
          <w:color w:val="auto"/>
          <w:sz w:val="32"/>
          <w:szCs w:val="32"/>
          <w:highlight w:val="none"/>
        </w:rPr>
      </w:pPr>
      <w:r>
        <w:rPr>
          <w:rFonts w:ascii="宋体" w:hAnsi="宋体"/>
          <w:bCs/>
          <w:color w:val="auto"/>
          <w:sz w:val="32"/>
          <w:szCs w:val="32"/>
          <w:highlight w:val="none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margin">
                  <wp:posOffset>2696845</wp:posOffset>
                </wp:positionH>
                <wp:positionV relativeFrom="margin">
                  <wp:posOffset>-250825</wp:posOffset>
                </wp:positionV>
                <wp:extent cx="3232150" cy="588010"/>
                <wp:effectExtent l="0" t="0" r="13970" b="6350"/>
                <wp:wrapNone/>
                <wp:docPr id="1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2150" cy="588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3AAE613">
                            <w:pPr>
                              <w:pStyle w:val="16"/>
                              <w:rPr>
                                <w:rFonts w:ascii="Times New Roman" w:eastAsia="楷体_GB2312"/>
                                <w:spacing w:val="2"/>
                                <w:position w:val="6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hint="eastAsia" w:ascii="Times New Roman" w:eastAsia="楷体_GB2312"/>
                                <w:spacing w:val="2"/>
                                <w:position w:val="6"/>
                                <w:sz w:val="72"/>
                                <w:szCs w:val="72"/>
                              </w:rPr>
                              <w:t>T/ZGXCFZXH</w:t>
                            </w:r>
                            <w:r>
                              <w:rPr>
                                <w:rFonts w:ascii="Times New Roman" w:eastAsia="楷体_GB2312"/>
                                <w:spacing w:val="2"/>
                                <w:position w:val="6"/>
                                <w:sz w:val="72"/>
                                <w:szCs w:val="72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26" o:spt="202" type="#_x0000_t202" style="position:absolute;left:0pt;margin-left:212.35pt;margin-top:-19.75pt;height:46.3pt;width:254.5pt;mso-position-horizontal-relative:margin;mso-position-vertical-relative:margin;z-index:251659264;mso-width-relative:page;mso-height-relative:page;" fillcolor="#FFFFFF" filled="t" stroked="f" coordsize="21600,21600" o:gfxdata="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XUvke2gAAAAoBAAAPAAAAAAAA&#10;AAEAIAAAACIAAABkcnMvZG93bnJldi54bWxQSwECFAAUAAAACACHTuJAlzgVJhACAAAuBAAADgAA&#10;AAAAAAABACAAAAApAQAAZHJzL2Uyb0RvYy54bWxQSwUGAAAAAAYABgBZAQAAqwU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23AAE613">
                      <w:pPr>
                        <w:pStyle w:val="16"/>
                        <w:rPr>
                          <w:rFonts w:ascii="Times New Roman" w:eastAsia="楷体_GB2312"/>
                          <w:spacing w:val="2"/>
                          <w:position w:val="6"/>
                          <w:sz w:val="72"/>
                          <w:szCs w:val="72"/>
                        </w:rPr>
                      </w:pPr>
                      <w:r>
                        <w:rPr>
                          <w:rFonts w:hint="eastAsia" w:ascii="Times New Roman" w:eastAsia="楷体_GB2312"/>
                          <w:spacing w:val="2"/>
                          <w:position w:val="6"/>
                          <w:sz w:val="72"/>
                          <w:szCs w:val="72"/>
                        </w:rPr>
                        <w:t>T/ZGXCFZXH</w:t>
                      </w:r>
                      <w:r>
                        <w:rPr>
                          <w:rFonts w:ascii="Times New Roman" w:eastAsia="楷体_GB2312"/>
                          <w:spacing w:val="2"/>
                          <w:position w:val="6"/>
                          <w:sz w:val="72"/>
                          <w:szCs w:val="72"/>
                        </w:rPr>
                        <w:t>B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93DE063">
      <w:pPr>
        <w:jc w:val="left"/>
        <w:rPr>
          <w:rFonts w:ascii="宋体" w:hAnsi="宋体"/>
          <w:bCs/>
          <w:color w:val="auto"/>
          <w:sz w:val="32"/>
          <w:szCs w:val="32"/>
          <w:highlight w:val="none"/>
        </w:rPr>
      </w:pPr>
      <w:r>
        <w:rPr>
          <w:rFonts w:ascii="宋体" w:hAnsi="宋体"/>
          <w:bCs/>
          <w:color w:val="auto"/>
          <w:sz w:val="32"/>
          <w:szCs w:val="32"/>
          <w:highlight w:val="non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-179705</wp:posOffset>
                </wp:positionH>
                <wp:positionV relativeFrom="paragraph">
                  <wp:posOffset>389890</wp:posOffset>
                </wp:positionV>
                <wp:extent cx="6120130" cy="0"/>
                <wp:effectExtent l="0" t="4445" r="0" b="5080"/>
                <wp:wrapNone/>
                <wp:docPr id="12" name="AutoShap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6" o:spid="_x0000_s1026" o:spt="32" type="#_x0000_t32" style="position:absolute;left:0pt;margin-left:-14.15pt;margin-top:30.7pt;height:0pt;width:481.9pt;z-index:251662336;mso-width-relative:page;mso-height-relative:page;" filled="f" stroked="t" coordsize="21600,21600" o:gfxdata="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wIrTh9gAAAAJAQAADwAAAAAAAAABACAA&#10;AAAiAAAAZHJzL2Rvd25yZXYueG1sUEsBAhQAFAAAAAgAh07iQF92Of3UAQAAswMAAA4AAAAAAAAA&#10;AQAgAAAAJwEAAGRycy9lMm9Eb2MueG1sUEsFBgAAAAAGAAYAWQEAAG0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/>
          <w:bCs/>
          <w:color w:val="auto"/>
          <w:sz w:val="32"/>
          <w:szCs w:val="32"/>
          <w:highlight w:val="none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>
                <wp:simplePos x="0" y="0"/>
                <wp:positionH relativeFrom="margin">
                  <wp:posOffset>-243205</wp:posOffset>
                </wp:positionH>
                <wp:positionV relativeFrom="margin">
                  <wp:posOffset>456565</wp:posOffset>
                </wp:positionV>
                <wp:extent cx="6120130" cy="391160"/>
                <wp:effectExtent l="0" t="0" r="6350" b="5080"/>
                <wp:wrapNone/>
                <wp:docPr id="11" name="fmFram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391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3053B79">
                            <w:pPr>
                              <w:pStyle w:val="17"/>
                              <w:rPr>
                                <w:spacing w:val="0"/>
                                <w:w w:val="120"/>
                                <w:szCs w:val="48"/>
                              </w:rPr>
                            </w:pPr>
                            <w:r>
                              <w:rPr>
                                <w:rFonts w:hint="eastAsia"/>
                                <w:spacing w:val="0"/>
                                <w:w w:val="120"/>
                                <w:szCs w:val="48"/>
                                <w:lang w:val="en-US" w:eastAsia="zh-CN"/>
                              </w:rPr>
                              <w:t>中国乡村发展协会团体</w:t>
                            </w:r>
                            <w:r>
                              <w:rPr>
                                <w:rFonts w:hint="eastAsia"/>
                                <w:spacing w:val="0"/>
                                <w:w w:val="120"/>
                                <w:szCs w:val="48"/>
                              </w:rPr>
                              <w:t>标准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2" o:spid="_x0000_s1026" o:spt="202" type="#_x0000_t202" style="position:absolute;left:0pt;margin-left:-19.15pt;margin-top:35.95pt;height:30.8pt;width:481.9pt;mso-position-horizontal-relative:margin;mso-position-vertical-relative:margin;z-index:251660288;mso-width-relative:page;mso-height-relative:page;" fillcolor="#FFFFFF" filled="t" stroked="f" coordsize="21600,21600" o:gfxdata="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+Z833toAAAAKAQAADwAAAAAAAAAB&#10;ACAAAAAiAAAAZHJzL2Rvd25yZXYueG1sUEsBAhQAFAAAAAgAh07iQL3j9esOAgAALAQAAA4AAAAA&#10;AAAAAQAgAAAAKQEAAGRycy9lMm9Eb2MueG1sUEsFBgAAAAAGAAYAWQEAAKk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23053B79">
                      <w:pPr>
                        <w:pStyle w:val="17"/>
                        <w:rPr>
                          <w:spacing w:val="0"/>
                          <w:w w:val="120"/>
                          <w:szCs w:val="48"/>
                        </w:rPr>
                      </w:pPr>
                      <w:r>
                        <w:rPr>
                          <w:rFonts w:hint="eastAsia"/>
                          <w:spacing w:val="0"/>
                          <w:w w:val="120"/>
                          <w:szCs w:val="48"/>
                          <w:lang w:val="en-US" w:eastAsia="zh-CN"/>
                        </w:rPr>
                        <w:t>中国乡村发展协会团体</w:t>
                      </w:r>
                      <w:r>
                        <w:rPr>
                          <w:rFonts w:hint="eastAsia"/>
                          <w:spacing w:val="0"/>
                          <w:w w:val="120"/>
                          <w:szCs w:val="48"/>
                        </w:rPr>
                        <w:t>标准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宋体" w:hAnsi="宋体"/>
          <w:bCs/>
          <w:color w:val="auto"/>
          <w:sz w:val="32"/>
          <w:szCs w:val="32"/>
          <w:highlight w:val="none"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>
                <wp:simplePos x="0" y="0"/>
                <wp:positionH relativeFrom="margin">
                  <wp:posOffset>-179705</wp:posOffset>
                </wp:positionH>
                <wp:positionV relativeFrom="margin">
                  <wp:posOffset>847090</wp:posOffset>
                </wp:positionV>
                <wp:extent cx="6120130" cy="539750"/>
                <wp:effectExtent l="0" t="0" r="4445" b="3175"/>
                <wp:wrapNone/>
                <wp:docPr id="10" name="fmFrame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E7A698F">
                            <w:pPr>
                              <w:pStyle w:val="18"/>
                              <w:spacing w:before="156" w:after="156"/>
                              <w:rPr>
                                <w:rFonts w:hint="default" w:ascii="黑体" w:hAnsi="黑体" w:eastAsia="黑体"/>
                                <w:lang w:val="en-US" w:eastAsia="zh-CN"/>
                              </w:rPr>
                            </w:pPr>
                            <w:r>
                              <w:rPr>
                                <w:rFonts w:ascii="黑体" w:hAnsi="黑体" w:eastAsia="黑体"/>
                              </w:rPr>
                              <w:t>T</w:t>
                            </w:r>
                            <w:r>
                              <w:rPr>
                                <w:rFonts w:hint="eastAsia" w:ascii="黑体" w:hAnsi="黑体" w:eastAsia="黑体"/>
                              </w:rPr>
                              <w:t>/ZGXCFZXH</w:t>
                            </w:r>
                            <w:r>
                              <w:rPr>
                                <w:rFonts w:ascii="黑体" w:hAnsi="黑体" w:eastAsia="黑体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/>
                                <w:lang w:val="en-US" w:eastAsia="zh-CN"/>
                              </w:rPr>
                              <w:t>000</w:t>
                            </w:r>
                            <w:r>
                              <w:rPr>
                                <w:rFonts w:hint="eastAsia" w:ascii="黑体" w:hAnsi="黑体" w:eastAsia="黑体"/>
                                <w:highlight w:val="none"/>
                                <w:lang w:val="en-US" w:eastAsia="zh-CN"/>
                              </w:rPr>
                              <w:t>1.15-2</w:t>
                            </w:r>
                            <w:r>
                              <w:rPr>
                                <w:rFonts w:hint="eastAsia" w:ascii="黑体" w:hAnsi="黑体" w:eastAsia="黑体"/>
                                <w:lang w:val="en-US" w:eastAsia="zh-CN"/>
                              </w:rPr>
                              <w:t>024</w:t>
                            </w:r>
                          </w:p>
                          <w:p w14:paraId="35385774">
                            <w:pPr>
                              <w:pStyle w:val="18"/>
                              <w:rPr>
                                <w:rFonts w:ascii="黑体" w:hAnsi="黑体" w:eastAsia="黑体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3" o:spid="_x0000_s1026" o:spt="202" type="#_x0000_t202" style="position:absolute;left:0pt;margin-left:-14.15pt;margin-top:66.7pt;height:42.5pt;width:481.9pt;mso-position-horizontal-relative:margin;mso-position-vertical-relative:margin;z-index:251661312;mso-width-relative:page;mso-height-relative:page;" fillcolor="#FFFFFF" filled="t" stroked="f" coordsize="21600,21600" o:gfxdata="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/4jm62wAAAAsBAAAPAAAAAAAA&#10;AAEAIAAAACIAAABkcnMvZG93bnJldi54bWxQSwECFAAUAAAACACHTuJAlgHYDg8CAAAsBAAADgAA&#10;AAAAAAABACAAAAAqAQAAZHJzL2Uyb0RvYy54bWxQSwUGAAAAAAYABgBZAQAAqwU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0E7A698F">
                      <w:pPr>
                        <w:pStyle w:val="18"/>
                        <w:spacing w:before="156" w:after="156"/>
                        <w:rPr>
                          <w:rFonts w:hint="default" w:ascii="黑体" w:hAnsi="黑体" w:eastAsia="黑体"/>
                          <w:lang w:val="en-US" w:eastAsia="zh-CN"/>
                        </w:rPr>
                      </w:pPr>
                      <w:r>
                        <w:rPr>
                          <w:rFonts w:ascii="黑体" w:hAnsi="黑体" w:eastAsia="黑体"/>
                        </w:rPr>
                        <w:t>T</w:t>
                      </w:r>
                      <w:r>
                        <w:rPr>
                          <w:rFonts w:hint="eastAsia" w:ascii="黑体" w:hAnsi="黑体" w:eastAsia="黑体"/>
                        </w:rPr>
                        <w:t>/ZGXCFZXH</w:t>
                      </w:r>
                      <w:r>
                        <w:rPr>
                          <w:rFonts w:ascii="黑体" w:hAnsi="黑体" w:eastAsia="黑体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/>
                          <w:lang w:val="en-US" w:eastAsia="zh-CN"/>
                        </w:rPr>
                        <w:t>000</w:t>
                      </w:r>
                      <w:r>
                        <w:rPr>
                          <w:rFonts w:hint="eastAsia" w:ascii="黑体" w:hAnsi="黑体" w:eastAsia="黑体"/>
                          <w:highlight w:val="none"/>
                          <w:lang w:val="en-US" w:eastAsia="zh-CN"/>
                        </w:rPr>
                        <w:t>1.15-2</w:t>
                      </w:r>
                      <w:r>
                        <w:rPr>
                          <w:rFonts w:hint="eastAsia" w:ascii="黑体" w:hAnsi="黑体" w:eastAsia="黑体"/>
                          <w:lang w:val="en-US" w:eastAsia="zh-CN"/>
                        </w:rPr>
                        <w:t>024</w:t>
                      </w:r>
                    </w:p>
                    <w:p w14:paraId="35385774">
                      <w:pPr>
                        <w:pStyle w:val="18"/>
                        <w:rPr>
                          <w:rFonts w:ascii="黑体" w:hAnsi="黑体" w:eastAsia="黑体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23DC4B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268" w:after="567"/>
        <w:jc w:val="center"/>
        <w:textAlignment w:val="auto"/>
        <w:rPr>
          <w:rFonts w:hint="eastAsia" w:ascii="黑体" w:hAnsi="黑体" w:eastAsia="黑体"/>
          <w:bCs/>
          <w:color w:val="auto"/>
          <w:sz w:val="52"/>
          <w:szCs w:val="52"/>
          <w:highlight w:val="none"/>
          <w:lang w:val="en-US" w:eastAsia="zh-CN"/>
        </w:rPr>
      </w:pPr>
      <w:r>
        <w:rPr>
          <w:rFonts w:hint="eastAsia" w:ascii="黑体" w:hAnsi="黑体" w:eastAsia="黑体"/>
          <w:bCs/>
          <w:color w:val="auto"/>
          <w:sz w:val="52"/>
          <w:szCs w:val="52"/>
          <w:highlight w:val="none"/>
          <w:lang w:val="en-US" w:eastAsia="zh-CN"/>
        </w:rPr>
        <w:t>道地</w:t>
      </w:r>
      <w:r>
        <w:rPr>
          <w:rFonts w:hint="eastAsia" w:ascii="黑体" w:hAnsi="黑体" w:eastAsia="黑体"/>
          <w:bCs/>
          <w:color w:val="auto"/>
          <w:sz w:val="52"/>
          <w:szCs w:val="52"/>
          <w:highlight w:val="none"/>
        </w:rPr>
        <w:t>药材集采交易标准</w:t>
      </w:r>
      <w:r>
        <w:rPr>
          <w:rFonts w:hint="eastAsia" w:ascii="黑体" w:hAnsi="黑体" w:eastAsia="黑体"/>
          <w:bCs/>
          <w:color w:val="auto"/>
          <w:sz w:val="52"/>
          <w:szCs w:val="52"/>
          <w:highlight w:val="none"/>
          <w:lang w:val="en-US" w:eastAsia="zh-CN"/>
        </w:rPr>
        <w:t xml:space="preserve"> 宁夏枸杞</w:t>
      </w:r>
    </w:p>
    <w:p w14:paraId="22774F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/>
        <w:ind w:left="-199" w:leftChars="-95" w:firstLine="0" w:firstLineChars="0"/>
        <w:jc w:val="center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000000" w:themeColor="text1"/>
          <w:spacing w:val="1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000000" w:themeColor="text1"/>
          <w:spacing w:val="10"/>
          <w:sz w:val="28"/>
          <w:szCs w:val="28"/>
          <w14:textFill>
            <w14:solidFill>
              <w14:schemeClr w14:val="tx1"/>
            </w14:solidFill>
          </w14:textFill>
        </w:rPr>
        <w:t xml:space="preserve">Centralized procurement standard </w:t>
      </w:r>
      <w:r>
        <w:rPr>
          <w:rFonts w:hint="eastAsia" w:ascii="黑体" w:hAnsi="黑体" w:eastAsia="黑体" w:cs="黑体"/>
          <w:i w:val="0"/>
          <w:iCs w:val="0"/>
          <w:caps w:val="0"/>
          <w:color w:val="000000" w:themeColor="text1"/>
          <w:spacing w:val="1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for</w:t>
      </w:r>
      <w:r>
        <w:rPr>
          <w:rFonts w:hint="eastAsia" w:ascii="黑体" w:hAnsi="黑体" w:eastAsia="黑体" w:cs="黑体"/>
          <w:i w:val="0"/>
          <w:iCs w:val="0"/>
          <w:caps w:val="0"/>
          <w:color w:val="000000" w:themeColor="text1"/>
          <w:spacing w:val="10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黑体" w:hAnsi="黑体" w:eastAsia="黑体" w:cs="黑体"/>
          <w:bCs/>
          <w:color w:val="000000"/>
          <w:sz w:val="28"/>
          <w:szCs w:val="28"/>
          <w:lang w:val="en-US" w:eastAsia="zh-CN"/>
        </w:rPr>
        <w:t>genuine regional</w:t>
      </w:r>
      <w:r>
        <w:rPr>
          <w:rFonts w:hint="eastAsia" w:ascii="黑体" w:hAnsi="黑体" w:eastAsia="黑体" w:cs="黑体"/>
          <w:bCs/>
          <w:color w:val="000000"/>
          <w:sz w:val="28"/>
          <w:szCs w:val="28"/>
        </w:rPr>
        <w:t xml:space="preserve"> materia medica</w:t>
      </w:r>
    </w:p>
    <w:p w14:paraId="313C8A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/>
        <w:jc w:val="center"/>
        <w:textAlignment w:val="auto"/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000000" w:themeColor="text1"/>
          <w:spacing w:val="10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LYCII FRUCTUS</w:t>
      </w:r>
    </w:p>
    <w:p w14:paraId="369B1309">
      <w:pPr>
        <w:spacing w:before="312" w:beforeLines="100" w:after="312" w:afterLines="100"/>
        <w:jc w:val="center"/>
        <w:rPr>
          <w:rFonts w:hint="eastAsia" w:ascii="黑体" w:hAnsi="黑体" w:eastAsia="黑体" w:cs="黑体"/>
          <w:bCs/>
          <w:color w:val="000000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Cs/>
          <w:color w:val="000000"/>
          <w:sz w:val="28"/>
          <w:szCs w:val="28"/>
          <w:lang w:eastAsia="zh-CN"/>
        </w:rPr>
        <w:t>（</w:t>
      </w:r>
      <w:r>
        <w:rPr>
          <w:rFonts w:hint="eastAsia" w:ascii="黑体" w:hAnsi="黑体" w:eastAsia="黑体" w:cs="黑体"/>
          <w:bCs/>
          <w:color w:val="000000"/>
          <w:sz w:val="28"/>
          <w:szCs w:val="28"/>
          <w:lang w:val="en-US" w:eastAsia="zh-CN"/>
        </w:rPr>
        <w:t>征求意见稿</w:t>
      </w:r>
      <w:r>
        <w:rPr>
          <w:rFonts w:hint="eastAsia" w:ascii="黑体" w:hAnsi="黑体" w:eastAsia="黑体" w:cs="黑体"/>
          <w:bCs/>
          <w:color w:val="000000"/>
          <w:sz w:val="28"/>
          <w:szCs w:val="28"/>
          <w:lang w:eastAsia="zh-CN"/>
        </w:rPr>
        <w:t>）</w:t>
      </w:r>
    </w:p>
    <w:p w14:paraId="343384C1">
      <w:pPr>
        <w:spacing w:before="312" w:beforeLines="100" w:after="312" w:afterLines="100"/>
        <w:jc w:val="center"/>
        <w:rPr>
          <w:rFonts w:hint="default" w:ascii="黑体" w:hAnsi="黑体" w:eastAsia="黑体"/>
          <w:bCs/>
          <w:color w:val="auto"/>
          <w:sz w:val="52"/>
          <w:szCs w:val="52"/>
          <w:highlight w:val="none"/>
          <w:lang w:val="en-US" w:eastAsia="zh-CN"/>
        </w:rPr>
      </w:pPr>
      <w:bookmarkStart w:id="29" w:name="_GoBack"/>
      <w:bookmarkEnd w:id="29"/>
    </w:p>
    <w:p w14:paraId="7A66D623">
      <w:pPr>
        <w:spacing w:before="312" w:beforeLines="100" w:after="312" w:afterLines="100"/>
        <w:jc w:val="center"/>
        <w:rPr>
          <w:rFonts w:ascii="Times New Roman" w:hAnsi="Times New Roman" w:eastAsia="黑体"/>
          <w:bCs/>
          <w:color w:val="auto"/>
          <w:sz w:val="28"/>
          <w:szCs w:val="28"/>
          <w:highlight w:val="none"/>
        </w:rPr>
      </w:pPr>
      <w:r>
        <w:rPr>
          <w:rFonts w:ascii="Times New Roman" w:hAnsi="Times New Roman" w:eastAsia="黑体"/>
          <w:bCs/>
          <w:color w:val="auto"/>
          <w:sz w:val="28"/>
          <w:szCs w:val="28"/>
          <w:highlight w:val="none"/>
        </w:rPr>
        <w:t xml:space="preserve"> </w:t>
      </w:r>
    </w:p>
    <w:p w14:paraId="71183E49">
      <w:pPr>
        <w:jc w:val="center"/>
        <w:rPr>
          <w:rFonts w:ascii="宋体" w:hAnsi="宋体"/>
          <w:bCs/>
          <w:color w:val="auto"/>
          <w:sz w:val="24"/>
          <w:highlight w:val="none"/>
        </w:rPr>
      </w:pPr>
    </w:p>
    <w:p w14:paraId="2DFBDB6F">
      <w:pPr>
        <w:rPr>
          <w:rFonts w:ascii="宋体" w:hAnsi="宋体"/>
          <w:bCs/>
          <w:color w:val="auto"/>
          <w:sz w:val="36"/>
          <w:szCs w:val="36"/>
          <w:highlight w:val="none"/>
        </w:rPr>
      </w:pPr>
    </w:p>
    <w:p w14:paraId="1694C56F">
      <w:pPr>
        <w:pStyle w:val="12"/>
        <w:framePr w:wrap="around" w:vAnchor="margin" w:yAlign="top"/>
        <w:ind w:left="5250" w:right="280"/>
        <w:rPr>
          <w:color w:val="auto"/>
          <w:highlight w:val="none"/>
        </w:rPr>
      </w:pPr>
    </w:p>
    <w:p w14:paraId="2026809F">
      <w:pPr>
        <w:rPr>
          <w:rFonts w:ascii="宋体" w:hAnsi="宋体"/>
          <w:bCs/>
          <w:color w:val="auto"/>
          <w:sz w:val="36"/>
          <w:szCs w:val="36"/>
          <w:highlight w:val="none"/>
        </w:rPr>
      </w:pPr>
      <w:r>
        <w:rPr>
          <w:rFonts w:ascii="宋体" w:hAnsi="宋体"/>
          <w:bCs/>
          <w:color w:val="auto"/>
          <w:sz w:val="36"/>
          <w:szCs w:val="36"/>
          <w:highlight w:val="none"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>
                <wp:simplePos x="0" y="0"/>
                <wp:positionH relativeFrom="margin">
                  <wp:posOffset>23495</wp:posOffset>
                </wp:positionH>
                <wp:positionV relativeFrom="margin">
                  <wp:posOffset>8399145</wp:posOffset>
                </wp:positionV>
                <wp:extent cx="6316345" cy="927735"/>
                <wp:effectExtent l="0" t="0" r="8255" b="1905"/>
                <wp:wrapNone/>
                <wp:docPr id="8" name="fmFrame7" descr="文本框: 中华人民共和国国家质量监督检验检疫总局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6345" cy="927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9"/>
                              <w:tblW w:w="0" w:type="auto"/>
                              <w:tblInd w:w="0" w:type="dxa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6865"/>
                              <w:gridCol w:w="3150"/>
                            </w:tblGrid>
                            <w:tr w14:paraId="7362B0CE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1232" w:hRule="atLeast"/>
                              </w:trPr>
                              <w:tc>
                                <w:tcPr>
                                  <w:tcW w:w="686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1DE908E6">
                                  <w:pPr>
                                    <w:pStyle w:val="19"/>
                                    <w:rPr>
                                      <w:rFonts w:hint="eastAsia" w:ascii="黑体" w:hAnsi="黑体" w:eastAsia="黑体"/>
                                      <w:b w:val="0"/>
                                      <w:szCs w:val="28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 w:ascii="黑体" w:hAnsi="黑体" w:eastAsia="黑体"/>
                                      <w:b w:val="0"/>
                                      <w:szCs w:val="28"/>
                                      <w:lang w:val="en-US" w:eastAsia="zh-CN"/>
                                    </w:rPr>
                                    <w:t>中国乡村发展协会</w:t>
                                  </w:r>
                                </w:p>
                              </w:tc>
                              <w:tc>
                                <w:tcPr>
                                  <w:tcW w:w="315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28E5352">
                                  <w:pPr>
                                    <w:pStyle w:val="19"/>
                                    <w:rPr>
                                      <w:rFonts w:hint="default" w:ascii="黑体" w:hAnsi="黑体" w:eastAsia="黑体"/>
                                      <w:b w:val="0"/>
                                      <w:szCs w:val="2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黑体" w:hAnsi="黑体" w:eastAsia="黑体"/>
                                      <w:b w:val="0"/>
                                      <w:szCs w:val="28"/>
                                      <w:lang w:val="en-US" w:eastAsia="zh-CN"/>
                                    </w:rPr>
                                    <w:t>发布</w:t>
                                  </w:r>
                                </w:p>
                              </w:tc>
                            </w:tr>
                          </w:tbl>
                          <w:p w14:paraId="132DE0C6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7" o:spid="_x0000_s1026" o:spt="202" alt="文本框: 中华人民共和国国家质量监督检验检疫总局" type="#_x0000_t202" style="position:absolute;left:0pt;margin-left:1.85pt;margin-top:661.35pt;height:73.05pt;width:497.35pt;mso-position-horizontal-relative:margin;mso-position-vertical-relative:margin;z-index:251665408;mso-width-relative:page;mso-height-relative:page;" fillcolor="#FFFFFF" filled="t" stroked="f" coordsize="21600,21600" o:gfxdata="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tbl>
                      <w:tblPr>
                        <w:tblStyle w:val="9"/>
                        <w:tblW w:w="0" w:type="auto"/>
                        <w:tblInd w:w="0" w:type="dxa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single" w:color="auto" w:sz="4" w:space="0"/>
                          <w:insideV w:val="single" w:color="auto" w:sz="4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6865"/>
                        <w:gridCol w:w="3150"/>
                      </w:tblGrid>
                      <w:tr w14:paraId="7362B0CE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1232" w:hRule="atLeast"/>
                        </w:trPr>
                        <w:tc>
                          <w:tcPr>
                            <w:tcW w:w="686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1DE908E6">
                            <w:pPr>
                              <w:pStyle w:val="19"/>
                              <w:rPr>
                                <w:rFonts w:hint="eastAsia" w:ascii="黑体" w:hAnsi="黑体" w:eastAsia="黑体"/>
                                <w:b w:val="0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b w:val="0"/>
                                <w:szCs w:val="28"/>
                                <w:lang w:val="en-US" w:eastAsia="zh-CN"/>
                              </w:rPr>
                              <w:t>中国乡村发展协会</w:t>
                            </w:r>
                          </w:p>
                        </w:tc>
                        <w:tc>
                          <w:tcPr>
                            <w:tcW w:w="315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28E5352">
                            <w:pPr>
                              <w:pStyle w:val="19"/>
                              <w:rPr>
                                <w:rFonts w:hint="default" w:ascii="黑体" w:hAnsi="黑体" w:eastAsia="黑体"/>
                                <w:b w:val="0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b w:val="0"/>
                                <w:szCs w:val="28"/>
                                <w:lang w:val="en-US" w:eastAsia="zh-CN"/>
                              </w:rPr>
                              <w:t>发布</w:t>
                            </w:r>
                          </w:p>
                        </w:tc>
                      </w:tr>
                    </w:tbl>
                    <w:p w14:paraId="132DE0C6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宋体" w:hAnsi="宋体"/>
          <w:bCs/>
          <w:color w:val="auto"/>
          <w:sz w:val="36"/>
          <w:szCs w:val="36"/>
          <w:highlight w:val="none"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>
                <wp:simplePos x="0" y="0"/>
                <wp:positionH relativeFrom="margin">
                  <wp:posOffset>4333240</wp:posOffset>
                </wp:positionH>
                <wp:positionV relativeFrom="margin">
                  <wp:posOffset>8084820</wp:posOffset>
                </wp:positionV>
                <wp:extent cx="2019300" cy="312420"/>
                <wp:effectExtent l="0" t="0" r="7620" b="7620"/>
                <wp:wrapNone/>
                <wp:docPr id="15" name="fmFrame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BB07294">
                            <w:pPr>
                              <w:pStyle w:val="13"/>
                              <w:rPr>
                                <w:rFonts w:ascii="黑体" w:hAnsi="黑体"/>
                              </w:rPr>
                            </w:pPr>
                            <w:r>
                              <w:rPr>
                                <w:rFonts w:hint="eastAsia" w:ascii="黑体" w:hAnsi="黑体" w:cs="黑体"/>
                              </w:rPr>
                              <w:t>20</w:t>
                            </w:r>
                            <w:r>
                              <w:rPr>
                                <w:rFonts w:hint="eastAsia" w:ascii="黑体" w:hAnsi="黑体" w:cs="黑体"/>
                                <w:lang w:val="en-US" w:eastAsia="zh-CN"/>
                              </w:rPr>
                              <w:t>24</w:t>
                            </w:r>
                            <w:r>
                              <w:rPr>
                                <w:rFonts w:ascii="黑体" w:hAnsi="黑体"/>
                              </w:rPr>
                              <w:t>-</w:t>
                            </w:r>
                            <w:r>
                              <w:rPr>
                                <w:rFonts w:hint="eastAsia" w:ascii="黑体" w:hAnsi="黑体" w:cs="黑体"/>
                              </w:rPr>
                              <w:t>××</w:t>
                            </w:r>
                            <w:r>
                              <w:rPr>
                                <w:rFonts w:ascii="黑体" w:hAnsi="黑体"/>
                              </w:rPr>
                              <w:t>-</w:t>
                            </w:r>
                            <w:r>
                              <w:rPr>
                                <w:rFonts w:hint="eastAsia" w:ascii="黑体" w:hAnsi="黑体" w:cs="黑体"/>
                              </w:rPr>
                              <w:t>××实施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5" o:spid="_x0000_s1026" o:spt="202" type="#_x0000_t202" style="position:absolute;left:0pt;margin-left:341.2pt;margin-top:636.6pt;height:24.6pt;width:159pt;mso-position-horizontal-relative:margin;mso-position-vertical-relative:margin;z-index:251667456;mso-width-relative:page;mso-height-relative:page;" fillcolor="#FFFFFF" filled="t" stroked="f" coordsize="21600,21600" o:gfxdata="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Ba4IeD2QAAAA4BAAAPAAAAAAAAAAEA&#10;IAAAACIAAABkcnMvZG93bnJldi54bWxQSwECFAAUAAAACACHTuJAcP+Dgg4CAAAsBAAADgAAAAAA&#10;AAABACAAAAAoAQAAZHJzL2Uyb0RvYy54bWxQSwUGAAAAAAYABgBZAQAAqAU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6BB07294">
                      <w:pPr>
                        <w:pStyle w:val="13"/>
                        <w:rPr>
                          <w:rFonts w:ascii="黑体" w:hAnsi="黑体"/>
                        </w:rPr>
                      </w:pPr>
                      <w:r>
                        <w:rPr>
                          <w:rFonts w:hint="eastAsia" w:ascii="黑体" w:hAnsi="黑体" w:cs="黑体"/>
                        </w:rPr>
                        <w:t>20</w:t>
                      </w:r>
                      <w:r>
                        <w:rPr>
                          <w:rFonts w:hint="eastAsia" w:ascii="黑体" w:hAnsi="黑体" w:cs="黑体"/>
                          <w:lang w:val="en-US" w:eastAsia="zh-CN"/>
                        </w:rPr>
                        <w:t>24</w:t>
                      </w:r>
                      <w:r>
                        <w:rPr>
                          <w:rFonts w:ascii="黑体" w:hAnsi="黑体"/>
                        </w:rPr>
                        <w:t>-</w:t>
                      </w:r>
                      <w:r>
                        <w:rPr>
                          <w:rFonts w:hint="eastAsia" w:ascii="黑体" w:hAnsi="黑体" w:cs="黑体"/>
                        </w:rPr>
                        <w:t>××</w:t>
                      </w:r>
                      <w:r>
                        <w:rPr>
                          <w:rFonts w:ascii="黑体" w:hAnsi="黑体"/>
                        </w:rPr>
                        <w:t>-</w:t>
                      </w:r>
                      <w:r>
                        <w:rPr>
                          <w:rFonts w:hint="eastAsia" w:ascii="黑体" w:hAnsi="黑体" w:cs="黑体"/>
                        </w:rPr>
                        <w:t>××实施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宋体" w:hAnsi="宋体"/>
          <w:bCs/>
          <w:color w:val="auto"/>
          <w:sz w:val="36"/>
          <w:szCs w:val="36"/>
          <w:highlight w:val="none"/>
        </w:rPr>
        <mc:AlternateContent>
          <mc:Choice Requires="wps">
            <w:drawing>
              <wp:anchor distT="0" distB="0" distL="114300" distR="114300" simplePos="0" relativeHeight="251664384" behindDoc="0" locked="1" layoutInCell="1" allowOverlap="1">
                <wp:simplePos x="0" y="0"/>
                <wp:positionH relativeFrom="margin">
                  <wp:posOffset>-177800</wp:posOffset>
                </wp:positionH>
                <wp:positionV relativeFrom="margin">
                  <wp:posOffset>8091805</wp:posOffset>
                </wp:positionV>
                <wp:extent cx="2019300" cy="312420"/>
                <wp:effectExtent l="0" t="0" r="7620" b="7620"/>
                <wp:wrapNone/>
                <wp:docPr id="7" name="fmFrame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751E616">
                            <w:pPr>
                              <w:pStyle w:val="13"/>
                              <w:rPr>
                                <w:rFonts w:ascii="黑体" w:hAnsi="黑体"/>
                              </w:rPr>
                            </w:pPr>
                            <w:r>
                              <w:rPr>
                                <w:rFonts w:hint="eastAsia" w:ascii="黑体" w:hAnsi="黑体" w:cs="黑体"/>
                              </w:rPr>
                              <w:t>20</w:t>
                            </w:r>
                            <w:r>
                              <w:rPr>
                                <w:rFonts w:hint="eastAsia" w:ascii="黑体" w:hAnsi="黑体" w:cs="黑体"/>
                                <w:lang w:val="en-US" w:eastAsia="zh-CN"/>
                              </w:rPr>
                              <w:t>24</w:t>
                            </w:r>
                            <w:r>
                              <w:rPr>
                                <w:rFonts w:ascii="黑体" w:hAnsi="黑体"/>
                              </w:rPr>
                              <w:t>-</w:t>
                            </w:r>
                            <w:r>
                              <w:rPr>
                                <w:rFonts w:hint="eastAsia" w:ascii="黑体" w:hAnsi="黑体" w:cs="黑体"/>
                              </w:rPr>
                              <w:t>××</w:t>
                            </w:r>
                            <w:r>
                              <w:rPr>
                                <w:rFonts w:ascii="黑体" w:hAnsi="黑体"/>
                              </w:rPr>
                              <w:t>-</w:t>
                            </w:r>
                            <w:r>
                              <w:rPr>
                                <w:rFonts w:hint="eastAsia" w:ascii="黑体" w:hAnsi="黑体" w:cs="黑体"/>
                              </w:rPr>
                              <w:t>××发布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5" o:spid="_x0000_s1026" o:spt="202" type="#_x0000_t202" style="position:absolute;left:0pt;margin-left:-14pt;margin-top:637.15pt;height:24.6pt;width:159pt;mso-position-horizontal-relative:margin;mso-position-vertical-relative:margin;z-index:251664384;mso-width-relative:page;mso-height-relative:page;" fillcolor="#FFFFFF" filled="t" stroked="f" coordsize="21600,21600" o:gfxdata="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OQOERLbAAAADQEAAA8AAAAAAAAA&#10;AQAgAAAAIgAAAGRycy9kb3ducmV2LnhtbFBLAQIUABQAAAAIAIdO4kBwRvrSDgIAACsEAAAOAAAA&#10;AAAAAAEAIAAAACoBAABkcnMvZTJvRG9jLnhtbFBLBQYAAAAABgAGAFkBAACqBQAAAAA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0751E616">
                      <w:pPr>
                        <w:pStyle w:val="13"/>
                        <w:rPr>
                          <w:rFonts w:ascii="黑体" w:hAnsi="黑体"/>
                        </w:rPr>
                      </w:pPr>
                      <w:r>
                        <w:rPr>
                          <w:rFonts w:hint="eastAsia" w:ascii="黑体" w:hAnsi="黑体" w:cs="黑体"/>
                        </w:rPr>
                        <w:t>20</w:t>
                      </w:r>
                      <w:r>
                        <w:rPr>
                          <w:rFonts w:hint="eastAsia" w:ascii="黑体" w:hAnsi="黑体" w:cs="黑体"/>
                          <w:lang w:val="en-US" w:eastAsia="zh-CN"/>
                        </w:rPr>
                        <w:t>24</w:t>
                      </w:r>
                      <w:r>
                        <w:rPr>
                          <w:rFonts w:ascii="黑体" w:hAnsi="黑体"/>
                        </w:rPr>
                        <w:t>-</w:t>
                      </w:r>
                      <w:r>
                        <w:rPr>
                          <w:rFonts w:hint="eastAsia" w:ascii="黑体" w:hAnsi="黑体" w:cs="黑体"/>
                        </w:rPr>
                        <w:t>××</w:t>
                      </w:r>
                      <w:r>
                        <w:rPr>
                          <w:rFonts w:ascii="黑体" w:hAnsi="黑体"/>
                        </w:rPr>
                        <w:t>-</w:t>
                      </w:r>
                      <w:r>
                        <w:rPr>
                          <w:rFonts w:hint="eastAsia" w:ascii="黑体" w:hAnsi="黑体" w:cs="黑体"/>
                        </w:rPr>
                        <w:t>××发布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33236D7">
      <w:pPr>
        <w:tabs>
          <w:tab w:val="left" w:pos="1305"/>
        </w:tabs>
        <w:rPr>
          <w:rFonts w:ascii="Times New Roman" w:hAnsi="Times New Roman"/>
          <w:color w:val="auto"/>
          <w:szCs w:val="21"/>
          <w:highlight w:val="none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17" w:right="1134" w:bottom="1134" w:left="1417" w:header="850" w:footer="992" w:gutter="0"/>
          <w:pgNumType w:start="1"/>
          <w:cols w:space="0" w:num="1"/>
          <w:titlePg/>
          <w:docGrid w:type="lines" w:linePitch="312" w:charSpace="0"/>
        </w:sectPr>
      </w:pPr>
      <w:r>
        <w:rPr>
          <w:rFonts w:ascii="宋体" w:hAnsi="宋体"/>
          <w:bCs/>
          <w:color w:val="auto"/>
          <w:sz w:val="36"/>
          <w:szCs w:val="36"/>
          <w:highlight w:val="non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-179705</wp:posOffset>
                </wp:positionH>
                <wp:positionV relativeFrom="paragraph">
                  <wp:posOffset>1158875</wp:posOffset>
                </wp:positionV>
                <wp:extent cx="6120130" cy="0"/>
                <wp:effectExtent l="0" t="4445" r="0" b="5080"/>
                <wp:wrapNone/>
                <wp:docPr id="6" name="AutoShap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4" o:spid="_x0000_s1026" o:spt="32" type="#_x0000_t32" style="position:absolute;left:0pt;margin-left:-14.15pt;margin-top:91.25pt;height:0pt;width:481.9pt;z-index:251666432;mso-width-relative:page;mso-height-relative:page;" filled="f" stroked="t" coordsize="21600,21600" o:gfxdata="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2tXvmNcAAAALAQAADwAAAAAAAAABACAA&#10;AAAiAAAAZHJzL2Rvd25yZXYueG1sUEsBAhQAFAAAAAgAh07iQATKKQnVAQAAswMAAA4AAAAAAAAA&#10;AQAgAAAAJgEAAGRycy9lMm9Eb2MueG1sUEsFBgAAAAAGAAYAWQEAAG0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53E6B645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outlineLvl w:val="0"/>
        <w:rPr>
          <w:rFonts w:ascii="Times New Roman" w:hAnsi="Times New Roman" w:eastAsia="黑体"/>
          <w:bCs/>
          <w:color w:val="auto"/>
          <w:sz w:val="32"/>
          <w:szCs w:val="32"/>
          <w:highlight w:val="none"/>
        </w:rPr>
      </w:pPr>
      <w:bookmarkStart w:id="0" w:name="_Toc19640"/>
      <w:bookmarkStart w:id="1" w:name="_Toc30137"/>
      <w:bookmarkStart w:id="2" w:name="_Toc31551"/>
      <w:bookmarkStart w:id="3" w:name="_Toc13472"/>
      <w:bookmarkStart w:id="4" w:name="_Toc5123"/>
      <w:bookmarkStart w:id="5" w:name="_Toc23109710"/>
      <w:bookmarkStart w:id="6" w:name="_Toc11998"/>
      <w:bookmarkStart w:id="7" w:name="_Toc16010"/>
      <w:bookmarkStart w:id="8" w:name="_Toc32599"/>
      <w:bookmarkStart w:id="9" w:name="_Toc21586"/>
      <w:bookmarkStart w:id="10" w:name="_Toc22401"/>
      <w:bookmarkStart w:id="11" w:name="_Toc18223"/>
      <w:bookmarkStart w:id="12" w:name="_Toc26541137"/>
      <w:bookmarkStart w:id="13" w:name="_Toc5094"/>
      <w:bookmarkStart w:id="14" w:name="_Toc26679"/>
      <w:bookmarkStart w:id="15" w:name="_Toc7349"/>
      <w:bookmarkStart w:id="16" w:name="_Toc840"/>
      <w:bookmarkStart w:id="17" w:name="_Toc13900"/>
      <w:bookmarkStart w:id="18" w:name="_Toc18100"/>
      <w:bookmarkStart w:id="19" w:name="_Toc29175"/>
      <w:bookmarkStart w:id="20" w:name="_Toc465701073"/>
      <w:r>
        <w:rPr>
          <w:rFonts w:ascii="Times New Roman" w:hAnsi="Times New Roman" w:eastAsia="黑体"/>
          <w:bCs/>
          <w:color w:val="auto"/>
          <w:sz w:val="32"/>
          <w:szCs w:val="32"/>
          <w:highlight w:val="none"/>
        </w:rPr>
        <w:t>前</w:t>
      </w:r>
      <w:r>
        <w:rPr>
          <w:rFonts w:hint="eastAsia" w:ascii="Times New Roman" w:hAnsi="Times New Roman" w:eastAsia="黑体"/>
          <w:bCs/>
          <w:color w:val="auto"/>
          <w:sz w:val="32"/>
          <w:szCs w:val="32"/>
          <w:highlight w:val="none"/>
        </w:rPr>
        <w:t xml:space="preserve">  </w:t>
      </w:r>
      <w:r>
        <w:rPr>
          <w:rFonts w:ascii="Times New Roman" w:hAnsi="Times New Roman" w:eastAsia="黑体"/>
          <w:bCs/>
          <w:color w:val="auto"/>
          <w:sz w:val="32"/>
          <w:szCs w:val="32"/>
          <w:highlight w:val="none"/>
        </w:rPr>
        <w:t>言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14:paraId="5896997A">
      <w:pPr>
        <w:keepNext w:val="0"/>
        <w:keepLines w:val="0"/>
        <w:pageBreakBefore w:val="0"/>
        <w:widowControl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本标准按照GB/T 1.1-2009《标准化工作导则 第1部分：标准的结构和编写》给出的规则起草。</w:t>
      </w:r>
    </w:p>
    <w:p w14:paraId="5BBA0B63">
      <w:pPr>
        <w:keepNext w:val="0"/>
        <w:keepLines w:val="0"/>
        <w:pageBreakBefore w:val="0"/>
        <w:widowControl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本标准由中国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乡村发展协会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提出并归口。</w:t>
      </w:r>
    </w:p>
    <w:p w14:paraId="34AC3EF8">
      <w:pPr>
        <w:keepNext w:val="0"/>
        <w:keepLines w:val="0"/>
        <w:pageBreakBefore w:val="0"/>
        <w:widowControl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ind w:firstLine="420" w:firstLineChars="200"/>
        <w:textAlignment w:val="auto"/>
        <w:rPr>
          <w:rFonts w:hint="default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本标准起草单位：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成都中医药大学、中健安检测认证中心有限公司。</w:t>
      </w:r>
    </w:p>
    <w:p w14:paraId="2A0E62B7">
      <w:pPr>
        <w:keepNext w:val="0"/>
        <w:keepLines w:val="0"/>
        <w:pageBreakBefore w:val="0"/>
        <w:widowControl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ind w:firstLine="420" w:firstLineChars="200"/>
        <w:textAlignment w:val="auto"/>
        <w:rPr>
          <w:rFonts w:hint="default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本标准主要起草人：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高继海、田梅、王琦。</w:t>
      </w:r>
    </w:p>
    <w:p w14:paraId="5EA7E792">
      <w:pPr>
        <w:pStyle w:val="4"/>
        <w:snapToGrid/>
        <w:spacing w:before="312" w:beforeLines="100" w:after="312" w:afterLines="100"/>
        <w:jc w:val="center"/>
        <w:rPr>
          <w:rFonts w:ascii="黑体" w:hAnsi="黑体" w:eastAsia="黑体"/>
          <w:bCs/>
          <w:color w:val="auto"/>
          <w:sz w:val="32"/>
          <w:szCs w:val="32"/>
          <w:highlight w:val="none"/>
        </w:rPr>
        <w:sectPr>
          <w:headerReference r:id="rId9" w:type="default"/>
          <w:footerReference r:id="rId11" w:type="default"/>
          <w:headerReference r:id="rId10" w:type="even"/>
          <w:footerReference r:id="rId12" w:type="even"/>
          <w:pgSz w:w="11906" w:h="16838"/>
          <w:pgMar w:top="1417" w:right="1134" w:bottom="1134" w:left="1417" w:header="1191" w:footer="850" w:gutter="0"/>
          <w:pgNumType w:start="1"/>
          <w:cols w:space="0" w:num="1"/>
          <w:docGrid w:type="lines" w:linePitch="312" w:charSpace="0"/>
        </w:sectPr>
      </w:pPr>
    </w:p>
    <w:p w14:paraId="0A22F9D2">
      <w:pPr>
        <w:pStyle w:val="4"/>
        <w:snapToGrid/>
        <w:spacing w:before="312" w:beforeLines="100" w:after="312" w:afterLines="100"/>
        <w:jc w:val="center"/>
        <w:rPr>
          <w:rFonts w:ascii="黑体" w:hAnsi="黑体" w:eastAsia="黑体"/>
          <w:bCs/>
          <w:color w:val="auto"/>
          <w:sz w:val="32"/>
          <w:szCs w:val="32"/>
          <w:highlight w:val="none"/>
        </w:rPr>
      </w:pPr>
    </w:p>
    <w:p w14:paraId="15A0B1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/>
        <w:jc w:val="center"/>
        <w:textAlignment w:val="auto"/>
        <w:rPr>
          <w:rFonts w:hint="default" w:ascii="黑体" w:hAnsi="黑体" w:eastAsia="黑体"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/>
          <w:bCs/>
          <w:color w:val="auto"/>
          <w:sz w:val="32"/>
          <w:szCs w:val="32"/>
          <w:highlight w:val="none"/>
          <w:lang w:val="en-US" w:eastAsia="zh-CN"/>
        </w:rPr>
        <w:t>道地</w:t>
      </w:r>
      <w:r>
        <w:rPr>
          <w:rFonts w:hint="eastAsia" w:ascii="黑体" w:hAnsi="黑体" w:eastAsia="黑体"/>
          <w:bCs/>
          <w:color w:val="auto"/>
          <w:sz w:val="32"/>
          <w:szCs w:val="32"/>
          <w:highlight w:val="none"/>
        </w:rPr>
        <w:t>药材集采交易标准</w:t>
      </w:r>
      <w:r>
        <w:rPr>
          <w:rFonts w:hint="eastAsia" w:ascii="黑体" w:hAnsi="黑体" w:eastAsia="黑体"/>
          <w:bCs/>
          <w:color w:val="auto"/>
          <w:sz w:val="32"/>
          <w:szCs w:val="32"/>
          <w:highlight w:val="none"/>
          <w:lang w:val="en-US" w:eastAsia="zh-CN"/>
        </w:rPr>
        <w:t xml:space="preserve"> 宁夏枸杞</w:t>
      </w:r>
    </w:p>
    <w:p w14:paraId="5E26FC35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hint="eastAsia" w:ascii="黑体" w:hAnsi="黑体" w:eastAsia="黑体"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bCs/>
          <w:color w:val="auto"/>
          <w:sz w:val="21"/>
          <w:szCs w:val="21"/>
          <w:highlight w:val="none"/>
          <w:lang w:val="en-US" w:eastAsia="zh-CN"/>
        </w:rPr>
        <w:t>1 范围</w:t>
      </w:r>
    </w:p>
    <w:p w14:paraId="781739AA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  <w:t>本标准规定了</w:t>
      </w:r>
      <w:r>
        <w:rPr>
          <w:rFonts w:hint="eastAsia" w:ascii="宋体" w:hAnsi="宋体" w:cs="宋体"/>
          <w:bCs/>
          <w:color w:val="auto"/>
          <w:sz w:val="21"/>
          <w:szCs w:val="21"/>
          <w:highlight w:val="none"/>
          <w:lang w:val="en-US" w:eastAsia="zh-CN"/>
        </w:rPr>
        <w:t>道地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  <w:t>药材</w:t>
      </w:r>
      <w:r>
        <w:rPr>
          <w:rFonts w:hint="eastAsia" w:ascii="宋体" w:hAnsi="宋体" w:cs="宋体"/>
          <w:bCs/>
          <w:color w:val="auto"/>
          <w:sz w:val="21"/>
          <w:szCs w:val="21"/>
          <w:highlight w:val="none"/>
          <w:lang w:val="en-US" w:eastAsia="zh-CN"/>
        </w:rPr>
        <w:t>宁夏枸杞的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  <w:t>集采交易</w:t>
      </w:r>
      <w:r>
        <w:rPr>
          <w:rFonts w:hint="eastAsia" w:ascii="宋体" w:hAnsi="宋体" w:cs="宋体"/>
          <w:bCs/>
          <w:color w:val="auto"/>
          <w:sz w:val="21"/>
          <w:szCs w:val="21"/>
          <w:highlight w:val="none"/>
          <w:lang w:val="en-US" w:eastAsia="zh-CN"/>
        </w:rPr>
        <w:t>标准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  <w:t>要求。</w:t>
      </w:r>
    </w:p>
    <w:p w14:paraId="414734B8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  <w:t>本标准适用于指导</w:t>
      </w:r>
      <w:r>
        <w:rPr>
          <w:rFonts w:hint="eastAsia" w:ascii="宋体" w:hAnsi="宋体" w:cs="宋体"/>
          <w:bCs/>
          <w:color w:val="auto"/>
          <w:sz w:val="21"/>
          <w:szCs w:val="21"/>
          <w:highlight w:val="none"/>
          <w:lang w:val="en-US" w:eastAsia="zh-CN"/>
        </w:rPr>
        <w:t>道地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  <w:t>药材</w:t>
      </w:r>
      <w:r>
        <w:rPr>
          <w:rFonts w:hint="eastAsia" w:ascii="宋体" w:hAnsi="宋体" w:cs="宋体"/>
          <w:bCs/>
          <w:color w:val="auto"/>
          <w:sz w:val="21"/>
          <w:szCs w:val="21"/>
          <w:highlight w:val="none"/>
          <w:lang w:val="en-US" w:eastAsia="zh-CN"/>
        </w:rPr>
        <w:t>宁夏枸杞的集采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  <w:t>交易。</w:t>
      </w:r>
    </w:p>
    <w:p w14:paraId="3D7661EC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hint="eastAsia" w:ascii="黑体" w:hAnsi="黑体" w:eastAsia="黑体"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bCs/>
          <w:color w:val="auto"/>
          <w:sz w:val="21"/>
          <w:szCs w:val="21"/>
          <w:highlight w:val="none"/>
          <w:lang w:val="en-US" w:eastAsia="zh-CN"/>
        </w:rPr>
        <w:t>2 规范性引用文件</w:t>
      </w:r>
    </w:p>
    <w:p w14:paraId="51D3EE4D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  <w:t>下列文件对于本文件的应用是必不可少的。凡是注日期的引用文件，仅注日期的版本适用于本文件。凡是不注日期的引用文件，其最新版本（包括所有的修改单）适用于本文件。</w:t>
      </w:r>
    </w:p>
    <w:p w14:paraId="5DDF6E51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  <w:t>T/ZGXCFZXH 0001.1-2024</w:t>
      </w:r>
      <w:r>
        <w:rPr>
          <w:rFonts w:hint="eastAsia" w:ascii="宋体" w:hAnsi="宋体" w:cs="宋体"/>
          <w:bCs/>
          <w:color w:val="auto"/>
          <w:sz w:val="21"/>
          <w:szCs w:val="21"/>
          <w:highlight w:val="none"/>
          <w:lang w:val="en-US" w:eastAsia="zh-CN"/>
        </w:rPr>
        <w:t>《道地药材集采交易标准编制通则》</w:t>
      </w:r>
    </w:p>
    <w:p w14:paraId="523E0807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  <w:t>T/CACM 1021.1</w:t>
      </w:r>
      <w:r>
        <w:rPr>
          <w:rFonts w:hint="eastAsia" w:ascii="宋体" w:hAnsi="宋体" w:cs="宋体"/>
          <w:bCs/>
          <w:color w:val="auto"/>
          <w:sz w:val="21"/>
          <w:szCs w:val="21"/>
          <w:highlight w:val="none"/>
          <w:lang w:val="en-US" w:eastAsia="zh-CN"/>
        </w:rPr>
        <w:t>-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  <w:t>2016《中药材商品规格等级</w:t>
      </w:r>
      <w:r>
        <w:rPr>
          <w:rFonts w:hint="eastAsia" w:ascii="宋体" w:hAnsi="宋体" w:cs="宋体"/>
          <w:bCs/>
          <w:color w:val="auto"/>
          <w:sz w:val="21"/>
          <w:szCs w:val="21"/>
          <w:highlight w:val="none"/>
          <w:lang w:val="en-US" w:eastAsia="zh-CN"/>
        </w:rPr>
        <w:t>标准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  <w:t>编制通则》</w:t>
      </w:r>
    </w:p>
    <w:p w14:paraId="4FA77A43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  <w:t>T/CACM 1021.</w:t>
      </w:r>
      <w:r>
        <w:rPr>
          <w:rFonts w:hint="eastAsia" w:ascii="宋体" w:hAnsi="宋体" w:cs="宋体"/>
          <w:bCs/>
          <w:color w:val="auto"/>
          <w:sz w:val="21"/>
          <w:szCs w:val="21"/>
          <w:highlight w:val="none"/>
          <w:lang w:val="en-US" w:eastAsia="zh-CN"/>
        </w:rPr>
        <w:t>50-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  <w:t>201</w:t>
      </w:r>
      <w:r>
        <w:rPr>
          <w:rFonts w:hint="eastAsia" w:ascii="宋体" w:hAnsi="宋体" w:cs="宋体"/>
          <w:bCs/>
          <w:color w:val="auto"/>
          <w:sz w:val="21"/>
          <w:szCs w:val="21"/>
          <w:highlight w:val="none"/>
          <w:lang w:val="en-US" w:eastAsia="zh-CN"/>
        </w:rPr>
        <w:t xml:space="preserve">8 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  <w:t>《中药材商品规格等级</w:t>
      </w:r>
      <w:r>
        <w:rPr>
          <w:rFonts w:hint="eastAsia" w:ascii="宋体" w:hAnsi="宋体" w:cs="宋体"/>
          <w:bCs/>
          <w:color w:val="auto"/>
          <w:sz w:val="21"/>
          <w:szCs w:val="21"/>
          <w:highlight w:val="none"/>
          <w:lang w:val="en-US" w:eastAsia="zh-CN"/>
        </w:rPr>
        <w:t xml:space="preserve"> 枸杞子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  <w:t>》</w:t>
      </w:r>
    </w:p>
    <w:p w14:paraId="5D4B17B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left"/>
        <w:textAlignment w:val="auto"/>
        <w:rPr>
          <w:rFonts w:hint="eastAsia" w:ascii="黑体" w:hAnsi="黑体" w:eastAsia="黑体"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bCs/>
          <w:color w:val="auto"/>
          <w:sz w:val="21"/>
          <w:szCs w:val="21"/>
          <w:highlight w:val="none"/>
          <w:lang w:val="en-US" w:eastAsia="zh-CN"/>
        </w:rPr>
        <w:t>3 术语和定义</w:t>
      </w:r>
    </w:p>
    <w:p w14:paraId="2F6E96C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left"/>
        <w:textAlignment w:val="auto"/>
        <w:rPr>
          <w:rFonts w:hint="eastAsia" w:ascii="黑体" w:hAnsi="黑体" w:eastAsia="黑体"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default" w:ascii="黑体" w:hAnsi="黑体" w:eastAsia="黑体"/>
          <w:bCs/>
          <w:color w:val="auto"/>
          <w:sz w:val="21"/>
          <w:szCs w:val="21"/>
          <w:highlight w:val="none"/>
          <w:lang w:val="en-US" w:eastAsia="zh-CN"/>
        </w:rPr>
        <w:t>3.</w:t>
      </w:r>
      <w:r>
        <w:rPr>
          <w:rFonts w:hint="eastAsia" w:ascii="黑体" w:hAnsi="黑体" w:eastAsia="黑体"/>
          <w:bCs/>
          <w:color w:val="auto"/>
          <w:sz w:val="21"/>
          <w:szCs w:val="21"/>
          <w:highlight w:val="none"/>
          <w:lang w:val="en-US" w:eastAsia="zh-CN"/>
        </w:rPr>
        <w:t xml:space="preserve">1 </w:t>
      </w:r>
    </w:p>
    <w:p w14:paraId="5523B3F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ind w:firstLine="420" w:firstLineChars="200"/>
        <w:jc w:val="left"/>
        <w:textAlignment w:val="auto"/>
        <w:rPr>
          <w:rFonts w:hint="default" w:ascii="黑体" w:hAnsi="黑体" w:eastAsia="黑体"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default" w:ascii="黑体" w:hAnsi="黑体" w:eastAsia="黑体"/>
          <w:bCs/>
          <w:color w:val="auto"/>
          <w:sz w:val="21"/>
          <w:szCs w:val="21"/>
          <w:highlight w:val="none"/>
          <w:lang w:val="en-US" w:eastAsia="zh-CN"/>
        </w:rPr>
        <w:t>油果</w:t>
      </w:r>
    </w:p>
    <w:p w14:paraId="2CE9A0A0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jc w:val="both"/>
        <w:textAlignment w:val="auto"/>
        <w:rPr>
          <w:rFonts w:hint="default" w:ascii="宋体" w:hAnsi="宋体" w:cs="宋体"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default" w:ascii="宋体" w:hAnsi="宋体" w:cs="宋体"/>
          <w:bCs/>
          <w:color w:val="auto"/>
          <w:sz w:val="21"/>
          <w:szCs w:val="21"/>
          <w:highlight w:val="none"/>
          <w:lang w:val="en-US" w:eastAsia="zh-CN"/>
        </w:rPr>
        <w:t>成熟过度或雨后采摘的鲜果因烘干或晾晒不当，保管不好，颜色变深，明显与正常枸杞不同的颗粒。</w:t>
      </w:r>
    </w:p>
    <w:p w14:paraId="40AD907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left"/>
        <w:textAlignment w:val="auto"/>
        <w:rPr>
          <w:rFonts w:hint="eastAsia" w:ascii="黑体" w:hAnsi="黑体" w:eastAsia="黑体"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default" w:ascii="黑体" w:hAnsi="黑体" w:eastAsia="黑体"/>
          <w:bCs/>
          <w:color w:val="auto"/>
          <w:sz w:val="21"/>
          <w:szCs w:val="21"/>
          <w:highlight w:val="none"/>
          <w:lang w:val="en-US" w:eastAsia="zh-CN"/>
        </w:rPr>
        <w:t>3.</w:t>
      </w:r>
      <w:r>
        <w:rPr>
          <w:rFonts w:hint="eastAsia" w:ascii="黑体" w:hAnsi="黑体" w:eastAsia="黑体"/>
          <w:bCs/>
          <w:color w:val="auto"/>
          <w:sz w:val="21"/>
          <w:szCs w:val="21"/>
          <w:highlight w:val="none"/>
          <w:lang w:val="en-US" w:eastAsia="zh-CN"/>
        </w:rPr>
        <w:t xml:space="preserve">2 </w:t>
      </w:r>
    </w:p>
    <w:p w14:paraId="5917DCD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ind w:firstLine="420" w:firstLineChars="200"/>
        <w:jc w:val="left"/>
        <w:textAlignment w:val="auto"/>
        <w:rPr>
          <w:rFonts w:hint="default" w:ascii="黑体" w:hAnsi="黑体" w:eastAsia="黑体"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default" w:ascii="黑体" w:hAnsi="黑体" w:eastAsia="黑体"/>
          <w:bCs/>
          <w:color w:val="auto"/>
          <w:sz w:val="21"/>
          <w:szCs w:val="21"/>
          <w:highlight w:val="none"/>
          <w:lang w:val="en-US" w:eastAsia="zh-CN"/>
        </w:rPr>
        <w:t>不完善粒</w:t>
      </w:r>
    </w:p>
    <w:p w14:paraId="3B524747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jc w:val="both"/>
        <w:textAlignment w:val="auto"/>
        <w:rPr>
          <w:rFonts w:hint="default" w:ascii="宋体" w:hAnsi="宋体" w:cs="宋体"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default" w:ascii="宋体" w:hAnsi="宋体" w:cs="宋体"/>
          <w:bCs/>
          <w:color w:val="auto"/>
          <w:sz w:val="21"/>
          <w:szCs w:val="21"/>
          <w:highlight w:val="none"/>
          <w:lang w:val="en-US" w:eastAsia="zh-CN"/>
        </w:rPr>
        <w:t>破碎粒、未成熟粒、油果尚有使用价值的枸杞子。</w:t>
      </w:r>
    </w:p>
    <w:p w14:paraId="43A6331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left"/>
        <w:textAlignment w:val="auto"/>
        <w:rPr>
          <w:rFonts w:hint="eastAsia" w:ascii="黑体" w:hAnsi="黑体" w:eastAsia="黑体"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default" w:ascii="黑体" w:hAnsi="黑体" w:eastAsia="黑体"/>
          <w:bCs/>
          <w:color w:val="auto"/>
          <w:sz w:val="21"/>
          <w:szCs w:val="21"/>
          <w:highlight w:val="none"/>
          <w:lang w:val="en-US" w:eastAsia="zh-CN"/>
        </w:rPr>
        <w:t>3.</w:t>
      </w:r>
      <w:r>
        <w:rPr>
          <w:rFonts w:hint="eastAsia" w:ascii="黑体" w:hAnsi="黑体" w:eastAsia="黑体"/>
          <w:bCs/>
          <w:color w:val="auto"/>
          <w:sz w:val="21"/>
          <w:szCs w:val="21"/>
          <w:highlight w:val="none"/>
          <w:lang w:val="en-US" w:eastAsia="zh-CN"/>
        </w:rPr>
        <w:t xml:space="preserve">3 </w:t>
      </w:r>
    </w:p>
    <w:p w14:paraId="5E31879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ind w:firstLine="420" w:firstLineChars="200"/>
        <w:jc w:val="left"/>
        <w:textAlignment w:val="auto"/>
        <w:rPr>
          <w:rFonts w:hint="default" w:ascii="黑体" w:hAnsi="黑体" w:eastAsia="黑体"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default" w:ascii="黑体" w:hAnsi="黑体" w:eastAsia="黑体"/>
          <w:bCs/>
          <w:color w:val="auto"/>
          <w:sz w:val="21"/>
          <w:szCs w:val="21"/>
          <w:highlight w:val="none"/>
          <w:lang w:val="en-US" w:eastAsia="zh-CN"/>
        </w:rPr>
        <w:t>50克粒数</w:t>
      </w:r>
    </w:p>
    <w:p w14:paraId="3510A135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jc w:val="both"/>
        <w:textAlignment w:val="auto"/>
        <w:rPr>
          <w:rFonts w:hint="default" w:ascii="宋体" w:hAnsi="宋体" w:cs="宋体"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default" w:ascii="宋体" w:hAnsi="宋体" w:cs="宋体"/>
          <w:bCs/>
          <w:color w:val="auto"/>
          <w:sz w:val="21"/>
          <w:szCs w:val="21"/>
          <w:highlight w:val="none"/>
          <w:lang w:val="en-US" w:eastAsia="zh-CN"/>
        </w:rPr>
        <w:t>每50克枸杞子药材的粒数</w:t>
      </w:r>
      <w:r>
        <w:rPr>
          <w:rFonts w:hint="eastAsia" w:ascii="宋体" w:hAnsi="宋体" w:cs="宋体"/>
          <w:bCs/>
          <w:color w:val="auto"/>
          <w:sz w:val="21"/>
          <w:szCs w:val="21"/>
          <w:highlight w:val="none"/>
          <w:lang w:val="en-US" w:eastAsia="zh-CN"/>
        </w:rPr>
        <w:t>。</w:t>
      </w:r>
    </w:p>
    <w:p w14:paraId="7D2FD82E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hint="eastAsia" w:ascii="黑体" w:hAnsi="黑体" w:eastAsia="黑体"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bCs/>
          <w:color w:val="auto"/>
          <w:sz w:val="21"/>
          <w:szCs w:val="21"/>
          <w:highlight w:val="none"/>
          <w:lang w:val="en-US" w:eastAsia="zh-CN"/>
        </w:rPr>
        <w:t>4 集采要求</w:t>
      </w:r>
    </w:p>
    <w:p w14:paraId="419E9154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hint="eastAsia" w:ascii="黑体" w:hAnsi="黑体" w:eastAsia="黑体"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bCs/>
          <w:color w:val="auto"/>
          <w:sz w:val="21"/>
          <w:szCs w:val="21"/>
          <w:highlight w:val="none"/>
          <w:lang w:val="en-US" w:eastAsia="zh-CN"/>
        </w:rPr>
        <w:t>4.1来源</w:t>
      </w:r>
    </w:p>
    <w:p w14:paraId="2275C74D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hint="default" w:ascii="黑体" w:hAnsi="黑体" w:eastAsia="黑体"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bCs/>
          <w:color w:val="auto"/>
          <w:sz w:val="21"/>
          <w:szCs w:val="21"/>
          <w:highlight w:val="none"/>
          <w:lang w:val="en-US" w:eastAsia="zh-CN"/>
        </w:rPr>
        <w:t>4.1.1基原</w:t>
      </w:r>
    </w:p>
    <w:p w14:paraId="4CAAFBAE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jc w:val="both"/>
        <w:textAlignment w:val="auto"/>
        <w:rPr>
          <w:rFonts w:hint="default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  <w:t>茄科植物宁夏枸杞</w:t>
      </w:r>
      <w:r>
        <w:rPr>
          <w:rFonts w:hint="eastAsia" w:ascii="宋体" w:hAnsi="宋体" w:eastAsia="宋体" w:cs="宋体"/>
          <w:bCs/>
          <w:i/>
          <w:iCs/>
          <w:color w:val="auto"/>
          <w:sz w:val="21"/>
          <w:szCs w:val="21"/>
          <w:highlight w:val="none"/>
          <w:lang w:val="en-US" w:eastAsia="zh-CN"/>
        </w:rPr>
        <w:t>Lycium barbarum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  <w:t xml:space="preserve"> L.</w:t>
      </w:r>
      <w:r>
        <w:rPr>
          <w:rFonts w:hint="eastAsia" w:ascii="宋体" w:hAnsi="宋体" w:cs="宋体"/>
          <w:bCs/>
          <w:color w:val="auto"/>
          <w:sz w:val="21"/>
          <w:szCs w:val="21"/>
          <w:highlight w:val="none"/>
          <w:lang w:val="en-US" w:eastAsia="zh-CN"/>
        </w:rPr>
        <w:t>。</w:t>
      </w:r>
    </w:p>
    <w:p w14:paraId="3E7BFF34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hint="eastAsia" w:ascii="黑体" w:hAnsi="黑体" w:eastAsia="黑体"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bCs/>
          <w:color w:val="auto"/>
          <w:sz w:val="21"/>
          <w:szCs w:val="21"/>
          <w:highlight w:val="none"/>
          <w:lang w:val="en-US" w:eastAsia="zh-CN"/>
        </w:rPr>
        <w:t>4.1.2 药用部位</w:t>
      </w:r>
    </w:p>
    <w:p w14:paraId="37DFF6D6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jc w:val="both"/>
        <w:textAlignment w:val="auto"/>
        <w:rPr>
          <w:rFonts w:hint="eastAsia" w:ascii="黑体" w:hAnsi="黑体" w:eastAsia="黑体"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  <w:t>干燥成熟果实</w:t>
      </w:r>
      <w:r>
        <w:rPr>
          <w:rFonts w:hint="eastAsia" w:ascii="宋体" w:hAnsi="宋体" w:cs="宋体"/>
          <w:bCs/>
          <w:color w:val="auto"/>
          <w:sz w:val="21"/>
          <w:szCs w:val="21"/>
          <w:highlight w:val="none"/>
          <w:lang w:val="en-US" w:eastAsia="zh-CN"/>
        </w:rPr>
        <w:t>。</w:t>
      </w:r>
    </w:p>
    <w:p w14:paraId="4CA96615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hint="eastAsia" w:ascii="黑体" w:hAnsi="黑体" w:eastAsia="黑体"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bCs/>
          <w:color w:val="auto"/>
          <w:sz w:val="21"/>
          <w:szCs w:val="21"/>
          <w:highlight w:val="none"/>
          <w:lang w:val="en-US" w:eastAsia="zh-CN"/>
        </w:rPr>
        <w:t>4.1.3 产地</w:t>
      </w:r>
    </w:p>
    <w:p w14:paraId="3C75578C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jc w:val="both"/>
        <w:textAlignment w:val="auto"/>
        <w:rPr>
          <w:rFonts w:hint="default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default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  <w:t>主产于宁夏中宁县核心产区及其周边(宁夏盐池县以西至中卫沙坡头区,惠农县以南至固原原州区)。</w:t>
      </w:r>
    </w:p>
    <w:p w14:paraId="6E5768DF">
      <w:pPr>
        <w:pStyle w:val="4"/>
        <w:keepNext w:val="0"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hint="eastAsia" w:ascii="黑体" w:hAnsi="黑体" w:eastAsia="黑体"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bCs/>
          <w:color w:val="auto"/>
          <w:sz w:val="21"/>
          <w:szCs w:val="21"/>
          <w:highlight w:val="none"/>
          <w:lang w:val="en-US" w:eastAsia="zh-CN"/>
        </w:rPr>
        <w:t>4.1.4 采收期</w:t>
      </w:r>
    </w:p>
    <w:p w14:paraId="3B3D9E1F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jc w:val="both"/>
        <w:textAlignment w:val="auto"/>
        <w:rPr>
          <w:rFonts w:hint="eastAsia" w:ascii="宋体" w:hAnsi="宋体" w:cs="宋体"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default" w:ascii="宋体" w:hAnsi="宋体" w:cs="宋体"/>
          <w:bCs/>
          <w:color w:val="auto"/>
          <w:sz w:val="21"/>
          <w:szCs w:val="21"/>
          <w:highlight w:val="none"/>
          <w:lang w:val="en-US" w:eastAsia="zh-CN"/>
        </w:rPr>
        <w:t>夏、秋二季果实呈红色时采收</w:t>
      </w:r>
      <w:r>
        <w:rPr>
          <w:rFonts w:hint="eastAsia" w:ascii="宋体" w:hAnsi="宋体" w:cs="宋体"/>
          <w:bCs/>
          <w:color w:val="auto"/>
          <w:sz w:val="21"/>
          <w:szCs w:val="21"/>
          <w:highlight w:val="none"/>
          <w:lang w:val="en-US" w:eastAsia="zh-CN"/>
        </w:rPr>
        <w:t>。</w:t>
      </w:r>
    </w:p>
    <w:p w14:paraId="09397AFB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hint="eastAsia" w:ascii="黑体" w:hAnsi="黑体" w:eastAsia="黑体"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bCs/>
          <w:color w:val="auto"/>
          <w:sz w:val="21"/>
          <w:szCs w:val="21"/>
          <w:highlight w:val="none"/>
          <w:lang w:val="en-US" w:eastAsia="zh-CN"/>
        </w:rPr>
        <w:t>4.1.5 产地加工</w:t>
      </w:r>
    </w:p>
    <w:p w14:paraId="3DEFFE2E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bCs/>
          <w:color w:val="auto"/>
          <w:sz w:val="21"/>
          <w:szCs w:val="21"/>
          <w:highlight w:val="none"/>
          <w:lang w:val="en-US" w:eastAsia="zh-CN"/>
        </w:rPr>
        <w:t>采收后</w:t>
      </w:r>
      <w:r>
        <w:rPr>
          <w:rFonts w:hint="default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  <w:t>热风烘干，去果梗，或晾至皮皱后，晒干，去果梗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  <w:t>。</w:t>
      </w:r>
    </w:p>
    <w:p w14:paraId="28AA6564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hint="eastAsia" w:ascii="黑体" w:hAnsi="黑体" w:eastAsia="黑体"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bCs/>
          <w:color w:val="auto"/>
          <w:sz w:val="21"/>
          <w:szCs w:val="21"/>
          <w:highlight w:val="none"/>
          <w:lang w:val="en-US" w:eastAsia="zh-CN"/>
        </w:rPr>
        <w:t>4.2 性状</w:t>
      </w:r>
    </w:p>
    <w:p w14:paraId="7AAC7C34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hint="eastAsia" w:ascii="黑体" w:hAnsi="黑体" w:eastAsia="黑体"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bCs/>
          <w:color w:val="auto"/>
          <w:sz w:val="21"/>
          <w:szCs w:val="21"/>
          <w:highlight w:val="none"/>
          <w:lang w:val="en-US" w:eastAsia="zh-CN"/>
        </w:rPr>
        <w:t>4.2.1 形状</w:t>
      </w:r>
    </w:p>
    <w:p w14:paraId="3C904441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bCs/>
          <w:color w:val="auto"/>
          <w:sz w:val="21"/>
          <w:szCs w:val="21"/>
          <w:highlight w:val="none"/>
          <w:lang w:val="en-US" w:eastAsia="zh-CN"/>
        </w:rPr>
        <w:t>枸杞子</w:t>
      </w:r>
      <w:r>
        <w:rPr>
          <w:rFonts w:hint="default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  <w:t>呈类纺锤形或椭圆形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  <w:t>。</w:t>
      </w:r>
    </w:p>
    <w:p w14:paraId="7DC722C9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hint="eastAsia" w:ascii="黑体" w:hAnsi="黑体" w:eastAsia="黑体"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bCs/>
          <w:color w:val="auto"/>
          <w:sz w:val="21"/>
          <w:szCs w:val="21"/>
          <w:highlight w:val="none"/>
          <w:lang w:val="en-US" w:eastAsia="zh-CN"/>
        </w:rPr>
        <w:t>4.2.2 表面</w:t>
      </w:r>
    </w:p>
    <w:p w14:paraId="1CEA42AD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jc w:val="both"/>
        <w:textAlignment w:val="auto"/>
        <w:rPr>
          <w:rFonts w:hint="default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default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  <w:t>表面红色或暗红色，顶端有小突起状的花柱痕，基部有白色的果梗痕。</w:t>
      </w:r>
    </w:p>
    <w:p w14:paraId="48DE6C48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hint="default" w:ascii="黑体" w:hAnsi="黑体" w:eastAsia="黑体"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bCs/>
          <w:color w:val="auto"/>
          <w:sz w:val="21"/>
          <w:szCs w:val="21"/>
          <w:highlight w:val="none"/>
          <w:lang w:val="en-US" w:eastAsia="zh-CN"/>
        </w:rPr>
        <w:t>4.2.3 果皮</w:t>
      </w:r>
    </w:p>
    <w:p w14:paraId="137F7868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default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  <w:t>果皮柔韧，皱缩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  <w:t>。</w:t>
      </w:r>
    </w:p>
    <w:p w14:paraId="08006B26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hint="eastAsia" w:ascii="黑体" w:hAnsi="黑体" w:eastAsia="黑体"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bCs/>
          <w:color w:val="auto"/>
          <w:sz w:val="21"/>
          <w:szCs w:val="21"/>
          <w:highlight w:val="none"/>
          <w:lang w:val="en-US" w:eastAsia="zh-CN"/>
        </w:rPr>
        <w:t>4.2.4 果肉</w:t>
      </w:r>
    </w:p>
    <w:p w14:paraId="6EEBAB88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default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  <w:t>果肉肉质，柔润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  <w:t>，</w:t>
      </w:r>
      <w:r>
        <w:rPr>
          <w:rFonts w:hint="default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  <w:t>表面浅黄色或棕黄色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  <w:t>。</w:t>
      </w:r>
    </w:p>
    <w:p w14:paraId="2B80F0C4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hint="eastAsia" w:ascii="黑体" w:hAnsi="黑体" w:eastAsia="黑体"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bCs/>
          <w:color w:val="auto"/>
          <w:sz w:val="21"/>
          <w:szCs w:val="21"/>
          <w:highlight w:val="none"/>
          <w:lang w:val="en-US" w:eastAsia="zh-CN"/>
        </w:rPr>
        <w:t>4.2.5 气味</w:t>
      </w:r>
    </w:p>
    <w:p w14:paraId="3E797DF7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default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  <w:t>微，味甜。</w:t>
      </w:r>
    </w:p>
    <w:p w14:paraId="0AB8E622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hint="eastAsia" w:ascii="黑体" w:hAnsi="黑体" w:eastAsia="黑体"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bCs/>
          <w:color w:val="auto"/>
          <w:sz w:val="21"/>
          <w:szCs w:val="21"/>
          <w:highlight w:val="none"/>
          <w:lang w:val="en-US" w:eastAsia="zh-CN"/>
        </w:rPr>
        <w:t>4.3 鉴别</w:t>
      </w:r>
    </w:p>
    <w:p w14:paraId="5F217D58"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beforeAutospacing="0" w:after="0" w:afterLines="50" w:afterAutospacing="0" w:line="240" w:lineRule="auto"/>
        <w:ind w:left="0" w:right="0" w:firstLine="0"/>
        <w:jc w:val="left"/>
        <w:textAlignment w:val="auto"/>
        <w:rPr>
          <w:rFonts w:hint="eastAsia" w:ascii="黑体" w:hAnsi="黑体" w:eastAsia="黑体"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bCs/>
          <w:color w:val="auto"/>
          <w:sz w:val="21"/>
          <w:szCs w:val="21"/>
          <w:highlight w:val="none"/>
          <w:lang w:val="en-US" w:eastAsia="zh-CN"/>
        </w:rPr>
        <w:t xml:space="preserve">4.3.1显微鉴别 </w:t>
      </w:r>
    </w:p>
    <w:p w14:paraId="683B4C14"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420" w:firstLineChars="200"/>
        <w:jc w:val="left"/>
        <w:textAlignment w:val="auto"/>
        <w:rPr>
          <w:rFonts w:hint="default" w:ascii="宋体" w:hAnsi="宋体" w:eastAsia="宋体" w:cs="宋体"/>
          <w:bCs/>
          <w:color w:val="auto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default" w:ascii="宋体" w:hAnsi="宋体" w:eastAsia="宋体" w:cs="宋体"/>
          <w:bCs/>
          <w:color w:val="auto"/>
          <w:kern w:val="0"/>
          <w:sz w:val="21"/>
          <w:szCs w:val="21"/>
          <w:highlight w:val="none"/>
          <w:lang w:val="en-US" w:eastAsia="zh-CN" w:bidi="ar-SA"/>
        </w:rPr>
        <w:t>本品粉末黄橙色或红棕色。外果皮表皮细胞表面观呈类多角形或长多角形，垂周壁平直或细波状弯曲，外平周壁表面有平行的角质条纹。中果皮薄壁细胞呈类多角形，壁薄，胞腔内含橙红色或红棕色球形颗粒。种皮石细胞表面观不规则多角形，壁厚，波状弯曲，层纹清晰。</w:t>
      </w:r>
    </w:p>
    <w:p w14:paraId="66754953"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beforeAutospacing="0" w:after="0" w:afterLines="50" w:afterAutospacing="0" w:line="240" w:lineRule="auto"/>
        <w:ind w:left="0" w:right="0" w:firstLine="0"/>
        <w:jc w:val="left"/>
        <w:textAlignment w:val="auto"/>
        <w:rPr>
          <w:rFonts w:hint="default" w:ascii="黑体" w:hAnsi="黑体" w:eastAsia="黑体"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bCs/>
          <w:color w:val="auto"/>
          <w:sz w:val="21"/>
          <w:szCs w:val="21"/>
          <w:highlight w:val="none"/>
          <w:lang w:val="en-US" w:eastAsia="zh-CN"/>
        </w:rPr>
        <w:t>4.3.2 薄层鉴别</w:t>
      </w:r>
    </w:p>
    <w:p w14:paraId="3D118C68">
      <w:pPr>
        <w:pStyle w:val="8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420" w:firstLineChars="200"/>
        <w:jc w:val="left"/>
        <w:textAlignment w:val="auto"/>
        <w:rPr>
          <w:rFonts w:hint="default" w:ascii="宋体" w:hAnsi="宋体" w:eastAsia="宋体" w:cs="宋体"/>
          <w:bCs/>
          <w:color w:val="auto"/>
          <w:kern w:val="0"/>
          <w:sz w:val="21"/>
          <w:szCs w:val="21"/>
          <w:highlight w:val="none"/>
          <w:lang w:val="en-US" w:eastAsia="zh-CN" w:bidi="ar-SA"/>
        </w:rPr>
      </w:pPr>
      <w:r>
        <w:rPr>
          <w:rFonts w:hint="default" w:ascii="宋体" w:hAnsi="宋体" w:eastAsia="宋体" w:cs="宋体"/>
          <w:bCs/>
          <w:color w:val="auto"/>
          <w:kern w:val="0"/>
          <w:sz w:val="21"/>
          <w:szCs w:val="21"/>
          <w:highlight w:val="none"/>
          <w:lang w:val="en-US" w:eastAsia="zh-CN" w:bidi="ar-SA"/>
        </w:rPr>
        <w:t>取本品0.5g，加水35ml，加热煮沸15分钟，放冷，滤过，滤液用乙酸乙酯15ml振摇提取，分取乙酸乙酯液，浓缩至1ml，作为供试品溶液。另取枸杞子对照药材0.5g，同法制成对照药材溶液。照薄层色谱法（通则0502）试验，吸取上述两种溶液各5μl，分别点于同一硅胶G薄层板上，以乙酸乙酯-三氯甲烷-甲酸（3∶2∶1）为展开剂，展开，取出，晾干，置紫外光灯（365nm）下检视。供试品色谱中，在与对照药材色谱相应的位置上，显相同颜色的荧光斑点。</w:t>
      </w:r>
    </w:p>
    <w:p w14:paraId="2F2928DC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hint="eastAsia" w:ascii="黑体" w:hAnsi="黑体" w:eastAsia="黑体"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bCs/>
          <w:color w:val="auto"/>
          <w:sz w:val="21"/>
          <w:szCs w:val="21"/>
          <w:highlight w:val="none"/>
          <w:lang w:val="en-US" w:eastAsia="zh-CN"/>
        </w:rPr>
        <w:t>4.4检查</w:t>
      </w:r>
    </w:p>
    <w:p w14:paraId="21172841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color w:val="auto"/>
          <w:sz w:val="21"/>
          <w:szCs w:val="21"/>
          <w:highlight w:val="none"/>
        </w:rPr>
      </w:pPr>
      <w:r>
        <w:rPr>
          <w:rFonts w:hint="eastAsia" w:ascii="黑体" w:hAnsi="黑体" w:eastAsia="黑体"/>
          <w:bCs/>
          <w:color w:val="auto"/>
          <w:sz w:val="21"/>
          <w:szCs w:val="21"/>
          <w:highlight w:val="none"/>
          <w:lang w:val="en-US" w:eastAsia="zh-CN"/>
        </w:rPr>
        <w:t>4.4.1 杂质</w:t>
      </w:r>
    </w:p>
    <w:p w14:paraId="6B89A513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jc w:val="both"/>
        <w:textAlignment w:val="auto"/>
        <w:rPr>
          <w:rFonts w:hint="default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  <w:t>少于3</w:t>
      </w:r>
      <w:r>
        <w:rPr>
          <w:rFonts w:hint="eastAsia" w:ascii="宋体" w:hAnsi="宋体" w:cs="宋体"/>
          <w:bCs/>
          <w:color w:val="auto"/>
          <w:sz w:val="21"/>
          <w:szCs w:val="21"/>
          <w:highlight w:val="none"/>
          <w:lang w:val="en-US" w:eastAsia="zh-CN"/>
        </w:rPr>
        <w:t>.0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  <w:t>%。</w:t>
      </w:r>
    </w:p>
    <w:p w14:paraId="39845A75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hint="eastAsia" w:ascii="黑体" w:hAnsi="黑体" w:eastAsia="黑体"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bCs/>
          <w:color w:val="auto"/>
          <w:sz w:val="21"/>
          <w:szCs w:val="21"/>
          <w:highlight w:val="none"/>
          <w:lang w:val="en-US" w:eastAsia="zh-CN"/>
        </w:rPr>
        <w:t>4.4.2 水分</w:t>
      </w:r>
    </w:p>
    <w:p w14:paraId="665EE105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jc w:val="both"/>
        <w:textAlignment w:val="auto"/>
        <w:rPr>
          <w:rFonts w:hint="default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bCs/>
          <w:color w:val="auto"/>
          <w:sz w:val="21"/>
          <w:szCs w:val="21"/>
          <w:highlight w:val="none"/>
          <w:lang w:val="en-US" w:eastAsia="zh-CN"/>
        </w:rPr>
        <w:t>照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1"/>
          <w:szCs w:val="21"/>
          <w:highlight w:val="none"/>
          <w:lang w:val="en-US" w:eastAsia="zh-CN" w:bidi="ar-SA"/>
        </w:rPr>
        <w:t>《中华人民共和国药典》2020年版</w:t>
      </w:r>
      <w:r>
        <w:rPr>
          <w:rFonts w:hint="default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  <w:t>通则0832第二法，温度为80℃</w:t>
      </w:r>
      <w:r>
        <w:rPr>
          <w:rFonts w:hint="eastAsia" w:ascii="宋体" w:hAnsi="宋体" w:cs="宋体"/>
          <w:bCs/>
          <w:color w:val="auto"/>
          <w:sz w:val="21"/>
          <w:szCs w:val="21"/>
          <w:highlight w:val="none"/>
          <w:lang w:val="en-US" w:eastAsia="zh-CN"/>
        </w:rPr>
        <w:t>，水分</w:t>
      </w:r>
      <w:r>
        <w:rPr>
          <w:rFonts w:hint="default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  <w:t>不得过13.0%。</w:t>
      </w:r>
    </w:p>
    <w:p w14:paraId="5AD76027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hint="eastAsia" w:ascii="黑体" w:hAnsi="黑体" w:eastAsia="黑体"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bCs/>
          <w:color w:val="auto"/>
          <w:sz w:val="21"/>
          <w:szCs w:val="21"/>
          <w:highlight w:val="none"/>
          <w:lang w:val="en-US" w:eastAsia="zh-CN"/>
        </w:rPr>
        <w:t>4.4.3 总灰分</w:t>
      </w:r>
    </w:p>
    <w:p w14:paraId="488A1CA0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bCs/>
          <w:color w:val="auto"/>
          <w:sz w:val="21"/>
          <w:szCs w:val="21"/>
          <w:highlight w:val="none"/>
          <w:lang w:val="en-US" w:eastAsia="zh-CN"/>
        </w:rPr>
        <w:t>照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1"/>
          <w:szCs w:val="21"/>
          <w:highlight w:val="none"/>
          <w:lang w:val="en-US" w:eastAsia="zh-CN" w:bidi="ar-SA"/>
        </w:rPr>
        <w:t>《中华人民共和国药典》2020年版</w:t>
      </w:r>
      <w:r>
        <w:rPr>
          <w:rFonts w:hint="default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  <w:t>通则2302</w:t>
      </w:r>
      <w:r>
        <w:rPr>
          <w:rFonts w:hint="eastAsia" w:ascii="宋体" w:hAnsi="宋体" w:cs="宋体"/>
          <w:bCs/>
          <w:color w:val="auto"/>
          <w:sz w:val="21"/>
          <w:szCs w:val="21"/>
          <w:highlight w:val="none"/>
          <w:lang w:val="en-US" w:eastAsia="zh-CN"/>
        </w:rPr>
        <w:t>，总灰分</w:t>
      </w:r>
      <w:r>
        <w:rPr>
          <w:rFonts w:hint="default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  <w:t>不得过5.0%。</w:t>
      </w:r>
    </w:p>
    <w:p w14:paraId="193A5FC2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hint="eastAsia" w:ascii="黑体" w:hAnsi="黑体" w:eastAsia="黑体"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bCs/>
          <w:color w:val="auto"/>
          <w:sz w:val="21"/>
          <w:szCs w:val="21"/>
          <w:highlight w:val="none"/>
          <w:lang w:val="en-US" w:eastAsia="zh-CN"/>
        </w:rPr>
        <w:t>4.4.4 浸出物</w:t>
      </w:r>
    </w:p>
    <w:p w14:paraId="7B5D2873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jc w:val="both"/>
        <w:textAlignment w:val="auto"/>
        <w:rPr>
          <w:rFonts w:hint="default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bCs/>
          <w:color w:val="auto"/>
          <w:sz w:val="21"/>
          <w:szCs w:val="21"/>
          <w:highlight w:val="none"/>
          <w:lang w:val="en-US" w:eastAsia="zh-CN"/>
        </w:rPr>
        <w:t>照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1"/>
          <w:szCs w:val="21"/>
          <w:highlight w:val="none"/>
          <w:lang w:val="en-US" w:eastAsia="zh-CN" w:bidi="ar-SA"/>
        </w:rPr>
        <w:t>《中华人民共和国药典》2020年版</w:t>
      </w:r>
      <w:r>
        <w:rPr>
          <w:rFonts w:hint="default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  <w:t>通则2201</w:t>
      </w:r>
      <w:r>
        <w:rPr>
          <w:rFonts w:hint="eastAsia" w:ascii="宋体" w:hAnsi="宋体" w:cs="宋体"/>
          <w:bCs/>
          <w:color w:val="auto"/>
          <w:sz w:val="21"/>
          <w:szCs w:val="21"/>
          <w:highlight w:val="none"/>
          <w:lang w:val="en-US" w:eastAsia="zh-CN"/>
        </w:rPr>
        <w:t>，</w:t>
      </w:r>
      <w:r>
        <w:rPr>
          <w:rFonts w:hint="default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  <w:t>浸出物不得少于55.0%。</w:t>
      </w:r>
    </w:p>
    <w:p w14:paraId="20248C08"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157" w:beforeLines="50" w:after="157" w:afterLines="50" w:line="240" w:lineRule="auto"/>
        <w:ind w:left="0" w:leftChars="0" w:firstLine="0" w:firstLineChars="0"/>
        <w:rPr>
          <w:sz w:val="21"/>
          <w:szCs w:val="21"/>
        </w:rPr>
      </w:pPr>
      <w:r>
        <w:rPr>
          <w:rFonts w:hint="eastAsia" w:ascii="黑体" w:hAnsi="黑体" w:eastAsia="黑体"/>
          <w:sz w:val="21"/>
          <w:szCs w:val="21"/>
        </w:rPr>
        <w:t>4.4.</w:t>
      </w:r>
      <w:r>
        <w:rPr>
          <w:rFonts w:hint="eastAsia" w:ascii="黑体" w:hAnsi="黑体" w:eastAsia="黑体"/>
          <w:sz w:val="21"/>
          <w:szCs w:val="21"/>
          <w:lang w:val="en-US" w:eastAsia="zh-CN"/>
        </w:rPr>
        <w:t>5</w:t>
      </w:r>
      <w:r>
        <w:rPr>
          <w:rFonts w:ascii="黑体" w:hAnsi="黑体" w:eastAsia="黑体"/>
          <w:sz w:val="21"/>
          <w:szCs w:val="21"/>
        </w:rPr>
        <w:t>二氧化硫残留</w:t>
      </w:r>
    </w:p>
    <w:p w14:paraId="6D5D464D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19" w:firstLine="420" w:firstLineChars="200"/>
        <w:textAlignment w:val="auto"/>
        <w:rPr>
          <w:rFonts w:hint="eastAsia"/>
          <w:sz w:val="21"/>
          <w:szCs w:val="21"/>
        </w:rPr>
      </w:pPr>
      <w:r>
        <w:rPr>
          <w:rFonts w:hint="default" w:ascii="宋体" w:hAnsi="宋体" w:cs="Times New Roman"/>
          <w:bCs/>
          <w:color w:val="auto"/>
          <w:sz w:val="21"/>
          <w:szCs w:val="21"/>
          <w:lang w:eastAsia="zh-CN"/>
        </w:rPr>
        <w:t>照</w:t>
      </w:r>
      <w:r>
        <w:rPr>
          <w:rFonts w:hint="default" w:ascii="宋体" w:hAnsi="宋体" w:cs="Times New Roman"/>
          <w:bCs/>
          <w:color w:val="auto"/>
          <w:sz w:val="21"/>
          <w:szCs w:val="21"/>
        </w:rPr>
        <w:t>《中华人民共和国药典》2020版</w:t>
      </w:r>
      <w:r>
        <w:rPr>
          <w:rFonts w:hint="default" w:ascii="宋体" w:hAnsi="宋体" w:eastAsia="宋体" w:cs="Times New Roman"/>
          <w:bCs/>
          <w:color w:val="auto"/>
          <w:sz w:val="21"/>
          <w:szCs w:val="21"/>
          <w:lang w:val="en-US" w:eastAsia="zh-CN"/>
        </w:rPr>
        <w:t>通则23</w:t>
      </w:r>
      <w:r>
        <w:rPr>
          <w:rFonts w:hint="eastAsia" w:ascii="宋体" w:hAnsi="宋体" w:eastAsia="宋体" w:cs="Times New Roman"/>
          <w:bCs/>
          <w:color w:val="auto"/>
          <w:sz w:val="21"/>
          <w:szCs w:val="21"/>
          <w:lang w:val="en-US" w:eastAsia="zh-CN"/>
        </w:rPr>
        <w:t>31</w:t>
      </w:r>
      <w:r>
        <w:rPr>
          <w:rFonts w:hint="default" w:ascii="宋体" w:hAnsi="宋体" w:cs="Times New Roman"/>
          <w:bCs/>
          <w:color w:val="auto"/>
          <w:sz w:val="21"/>
          <w:szCs w:val="21"/>
          <w:lang w:val="en-US" w:eastAsia="zh-CN"/>
        </w:rPr>
        <w:t>法测定</w:t>
      </w:r>
      <w:r>
        <w:rPr>
          <w:rFonts w:hint="eastAsia" w:ascii="宋体" w:hAnsi="宋体" w:cs="Times New Roman"/>
          <w:bCs/>
          <w:color w:val="auto"/>
          <w:sz w:val="21"/>
          <w:szCs w:val="21"/>
          <w:lang w:val="en-US" w:eastAsia="zh-CN"/>
        </w:rPr>
        <w:t>，</w:t>
      </w:r>
      <w:r>
        <w:rPr>
          <w:sz w:val="21"/>
          <w:szCs w:val="21"/>
        </w:rPr>
        <w:t>不得过1</w:t>
      </w:r>
      <w:r>
        <w:rPr>
          <w:rFonts w:hint="eastAsia"/>
          <w:sz w:val="21"/>
          <w:szCs w:val="21"/>
          <w:lang w:val="en-US" w:eastAsia="zh-CN"/>
        </w:rPr>
        <w:t>5</w:t>
      </w:r>
      <w:r>
        <w:rPr>
          <w:sz w:val="21"/>
          <w:szCs w:val="21"/>
        </w:rPr>
        <w:t>0mg/kg</w:t>
      </w:r>
      <w:r>
        <w:rPr>
          <w:rFonts w:hint="eastAsia"/>
          <w:sz w:val="21"/>
          <w:szCs w:val="21"/>
        </w:rPr>
        <w:t>。</w:t>
      </w:r>
    </w:p>
    <w:p w14:paraId="42F69F79">
      <w:pPr>
        <w:pStyle w:val="4"/>
        <w:snapToGrid/>
        <w:spacing w:before="157" w:beforeLines="50" w:after="157" w:afterLines="50"/>
        <w:jc w:val="both"/>
        <w:rPr>
          <w:rFonts w:hint="default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4.4.6 重金属残留</w:t>
      </w:r>
    </w:p>
    <w:p w14:paraId="4155D146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bCs/>
          <w:color w:val="auto"/>
          <w:sz w:val="21"/>
          <w:szCs w:val="21"/>
          <w:highlight w:val="none"/>
          <w:lang w:val="en-US" w:eastAsia="zh-CN"/>
        </w:rPr>
        <w:t>枸杞子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  <w:t>照铅、镉、砷、汞、铜测定法（通则2321原子吸收分光光度法或电感耦合等离子体质谱法）测定，铅不得过5mg/kg；镉不得过lmg/kg；砷不得过2mg/kg；汞不得过0.2mg/kg；铜不得过20mg/kg。</w:t>
      </w:r>
    </w:p>
    <w:p w14:paraId="6E1D50FD">
      <w:pPr>
        <w:pStyle w:val="4"/>
        <w:snapToGrid/>
        <w:spacing w:before="157" w:beforeLines="50" w:after="157" w:afterLines="50"/>
        <w:jc w:val="both"/>
        <w:rPr>
          <w:rFonts w:hint="default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4.4.7 农药残留</w:t>
      </w:r>
    </w:p>
    <w:p w14:paraId="5EFB289E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default" w:ascii="宋体" w:hAnsi="宋体" w:cs="Times New Roman"/>
          <w:bCs/>
          <w:color w:val="auto"/>
          <w:sz w:val="21"/>
          <w:szCs w:val="21"/>
          <w:lang w:val="en-US" w:eastAsia="zh-CN"/>
        </w:rPr>
        <w:t>《中华人民共和国药典》2020年版通则0212</w:t>
      </w:r>
      <w:r>
        <w:rPr>
          <w:rFonts w:hint="eastAsia" w:ascii="宋体" w:hAnsi="宋体" w:cs="Times New Roman"/>
          <w:bCs/>
          <w:color w:val="auto"/>
          <w:sz w:val="21"/>
          <w:szCs w:val="21"/>
          <w:lang w:val="en-US" w:eastAsia="zh-CN"/>
        </w:rPr>
        <w:t>中列出的</w:t>
      </w:r>
      <w:r>
        <w:rPr>
          <w:rFonts w:hint="default" w:ascii="宋体" w:hAnsi="宋体" w:cs="Times New Roman"/>
          <w:bCs/>
          <w:color w:val="auto"/>
          <w:sz w:val="21"/>
          <w:szCs w:val="21"/>
          <w:lang w:val="en-US" w:eastAsia="zh-CN"/>
        </w:rPr>
        <w:t>农药残留不得检出</w:t>
      </w:r>
      <w:r>
        <w:rPr>
          <w:rFonts w:hint="default" w:ascii="宋体" w:hAnsi="宋体" w:eastAsia="宋体" w:cs="Times New Roman"/>
          <w:bCs/>
          <w:color w:val="auto"/>
          <w:sz w:val="21"/>
          <w:szCs w:val="21"/>
          <w:lang w:val="en-US" w:eastAsia="zh-CN"/>
        </w:rPr>
        <w:t>。</w:t>
      </w:r>
    </w:p>
    <w:p w14:paraId="175B00DE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hint="eastAsia" w:ascii="黑体" w:hAnsi="黑体" w:eastAsia="黑体"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bCs/>
          <w:color w:val="auto"/>
          <w:sz w:val="21"/>
          <w:szCs w:val="21"/>
          <w:highlight w:val="none"/>
          <w:lang w:val="en-US" w:eastAsia="zh-CN"/>
        </w:rPr>
        <w:t>4.5 含量</w:t>
      </w:r>
    </w:p>
    <w:p w14:paraId="3E44AB0A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default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  <w:t>按</w:t>
      </w:r>
      <w:r>
        <w:rPr>
          <w:rFonts w:hint="eastAsia" w:ascii="宋体" w:hAnsi="宋体" w:cs="宋体"/>
          <w:bCs/>
          <w:color w:val="auto"/>
          <w:sz w:val="21"/>
          <w:szCs w:val="21"/>
          <w:highlight w:val="none"/>
          <w:lang w:val="en-US" w:eastAsia="zh-CN"/>
        </w:rPr>
        <w:t>枸杞子</w:t>
      </w:r>
      <w:r>
        <w:rPr>
          <w:rFonts w:hint="default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  <w:t>干燥品计算，含枸杞多糖以葡萄糖（C</w:t>
      </w:r>
      <w:r>
        <w:rPr>
          <w:rFonts w:hint="default" w:ascii="宋体" w:hAnsi="宋体" w:eastAsia="宋体" w:cs="宋体"/>
          <w:bCs/>
          <w:color w:val="auto"/>
          <w:sz w:val="21"/>
          <w:szCs w:val="21"/>
          <w:highlight w:val="none"/>
          <w:vertAlign w:val="subscript"/>
          <w:lang w:val="en-US" w:eastAsia="zh-CN"/>
        </w:rPr>
        <w:t>6</w:t>
      </w:r>
      <w:r>
        <w:rPr>
          <w:rFonts w:hint="default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  <w:t>H</w:t>
      </w:r>
      <w:r>
        <w:rPr>
          <w:rFonts w:hint="default" w:ascii="宋体" w:hAnsi="宋体" w:eastAsia="宋体" w:cs="宋体"/>
          <w:bCs/>
          <w:color w:val="auto"/>
          <w:sz w:val="21"/>
          <w:szCs w:val="21"/>
          <w:highlight w:val="none"/>
          <w:vertAlign w:val="subscript"/>
          <w:lang w:val="en-US" w:eastAsia="zh-CN"/>
        </w:rPr>
        <w:t>12</w:t>
      </w:r>
      <w:r>
        <w:rPr>
          <w:rFonts w:hint="default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  <w:t>O</w:t>
      </w:r>
      <w:r>
        <w:rPr>
          <w:rFonts w:hint="default" w:ascii="宋体" w:hAnsi="宋体" w:eastAsia="宋体" w:cs="宋体"/>
          <w:bCs/>
          <w:color w:val="auto"/>
          <w:sz w:val="21"/>
          <w:szCs w:val="21"/>
          <w:highlight w:val="none"/>
          <w:vertAlign w:val="subscript"/>
          <w:lang w:val="en-US" w:eastAsia="zh-CN"/>
        </w:rPr>
        <w:t>6</w:t>
      </w:r>
      <w:r>
        <w:rPr>
          <w:rFonts w:hint="default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  <w:t>）计，不得少于1.8%。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1"/>
          <w:szCs w:val="21"/>
          <w:highlight w:val="none"/>
          <w:lang w:val="en-US" w:eastAsia="zh-CN" w:bidi="ar-SA"/>
        </w:rPr>
        <w:t>（《中华人民共和国药典》2020年版通则0512）。</w:t>
      </w:r>
      <w:r>
        <w:rPr>
          <w:rFonts w:hint="default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  <w:t>按</w:t>
      </w:r>
      <w:r>
        <w:rPr>
          <w:rFonts w:hint="eastAsia" w:ascii="宋体" w:hAnsi="宋体" w:cs="宋体"/>
          <w:bCs/>
          <w:color w:val="auto"/>
          <w:sz w:val="21"/>
          <w:szCs w:val="21"/>
          <w:highlight w:val="none"/>
          <w:lang w:val="en-US" w:eastAsia="zh-CN"/>
        </w:rPr>
        <w:t>枸杞子</w:t>
      </w:r>
      <w:r>
        <w:rPr>
          <w:rFonts w:hint="default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  <w:t>干燥品计算，含甜菜碱（C</w:t>
      </w:r>
      <w:r>
        <w:rPr>
          <w:rFonts w:hint="default" w:ascii="宋体" w:hAnsi="宋体" w:eastAsia="宋体" w:cs="宋体"/>
          <w:bCs/>
          <w:color w:val="auto"/>
          <w:sz w:val="21"/>
          <w:szCs w:val="21"/>
          <w:highlight w:val="none"/>
          <w:vertAlign w:val="subscript"/>
          <w:lang w:val="en-US" w:eastAsia="zh-CN"/>
        </w:rPr>
        <w:t>5</w:t>
      </w:r>
      <w:r>
        <w:rPr>
          <w:rFonts w:hint="default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  <w:t>H</w:t>
      </w:r>
      <w:r>
        <w:rPr>
          <w:rFonts w:hint="default" w:ascii="宋体" w:hAnsi="宋体" w:eastAsia="宋体" w:cs="宋体"/>
          <w:bCs/>
          <w:color w:val="auto"/>
          <w:sz w:val="21"/>
          <w:szCs w:val="21"/>
          <w:highlight w:val="none"/>
          <w:vertAlign w:val="subscript"/>
          <w:lang w:val="en-US" w:eastAsia="zh-CN"/>
        </w:rPr>
        <w:t>11</w:t>
      </w:r>
      <w:r>
        <w:rPr>
          <w:rFonts w:hint="default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  <w:t>NO</w:t>
      </w:r>
      <w:r>
        <w:rPr>
          <w:rFonts w:hint="default" w:ascii="宋体" w:hAnsi="宋体" w:eastAsia="宋体" w:cs="宋体"/>
          <w:bCs/>
          <w:color w:val="auto"/>
          <w:sz w:val="21"/>
          <w:szCs w:val="21"/>
          <w:highlight w:val="none"/>
          <w:vertAlign w:val="subscript"/>
          <w:lang w:val="en-US" w:eastAsia="zh-CN"/>
        </w:rPr>
        <w:t>2</w:t>
      </w:r>
      <w:r>
        <w:rPr>
          <w:rFonts w:hint="default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  <w:t>）不得少于0.50%。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1"/>
          <w:szCs w:val="21"/>
          <w:highlight w:val="none"/>
          <w:lang w:val="en-US" w:eastAsia="zh-CN" w:bidi="ar-SA"/>
        </w:rPr>
        <w:t>（《中华人民共和国药典》2020年版通则0512）。</w:t>
      </w:r>
    </w:p>
    <w:p w14:paraId="6E8E90BA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hint="eastAsia" w:ascii="黑体" w:hAnsi="黑体" w:eastAsia="黑体"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bCs/>
          <w:color w:val="auto"/>
          <w:sz w:val="21"/>
          <w:szCs w:val="21"/>
          <w:highlight w:val="none"/>
          <w:lang w:val="en-US" w:eastAsia="zh-CN"/>
        </w:rPr>
        <w:t>4.6 质量控制</w:t>
      </w:r>
    </w:p>
    <w:p w14:paraId="489A448C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hint="eastAsia" w:ascii="黑体" w:hAnsi="黑体" w:eastAsia="黑体"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bCs/>
          <w:color w:val="auto"/>
          <w:sz w:val="21"/>
          <w:szCs w:val="21"/>
          <w:highlight w:val="none"/>
          <w:lang w:val="en-US" w:eastAsia="zh-CN"/>
        </w:rPr>
        <w:t>4.6.1 可追溯</w:t>
      </w:r>
    </w:p>
    <w:p w14:paraId="46F2E968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  <w:t>集采交易药材</w:t>
      </w:r>
      <w:r>
        <w:rPr>
          <w:rFonts w:hint="eastAsia" w:ascii="宋体" w:hAnsi="宋体" w:cs="宋体"/>
          <w:bCs/>
          <w:color w:val="auto"/>
          <w:sz w:val="21"/>
          <w:szCs w:val="21"/>
          <w:highlight w:val="none"/>
          <w:lang w:val="en-US" w:eastAsia="zh-CN"/>
        </w:rPr>
        <w:t>宁夏枸杞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  <w:t>应实现中药材生产全过程可追溯，并通过第三方溯源评价。</w:t>
      </w:r>
    </w:p>
    <w:p w14:paraId="32F0AABC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hint="eastAsia" w:ascii="黑体" w:hAnsi="黑体" w:eastAsia="黑体"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bCs/>
          <w:color w:val="auto"/>
          <w:sz w:val="21"/>
          <w:szCs w:val="21"/>
          <w:highlight w:val="none"/>
          <w:lang w:val="en-US" w:eastAsia="zh-CN"/>
        </w:rPr>
        <w:t xml:space="preserve">4.6.2 </w:t>
      </w:r>
      <w:r>
        <w:rPr>
          <w:rFonts w:hint="eastAsia" w:ascii="宋体" w:hAnsi="宋体" w:eastAsia="黑体"/>
          <w:bCs/>
          <w:color w:val="auto"/>
          <w:sz w:val="21"/>
          <w:szCs w:val="21"/>
          <w:lang w:val="en-US" w:eastAsia="zh-CN"/>
        </w:rPr>
        <w:t>药材生产管理规范</w:t>
      </w:r>
    </w:p>
    <w:p w14:paraId="2579A6F1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  <w:t>精</w:t>
      </w:r>
      <w:r>
        <w:rPr>
          <w:rFonts w:hint="eastAsia" w:ascii="宋体" w:hAnsi="宋体" w:cs="宋体"/>
          <w:bCs/>
          <w:color w:val="auto"/>
          <w:sz w:val="21"/>
          <w:szCs w:val="21"/>
          <w:highlight w:val="none"/>
          <w:lang w:val="en-US" w:eastAsia="zh-CN"/>
        </w:rPr>
        <w:t>品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  <w:t>药材</w:t>
      </w:r>
      <w:r>
        <w:rPr>
          <w:rFonts w:hint="eastAsia" w:ascii="宋体" w:hAnsi="宋体" w:cs="宋体"/>
          <w:bCs/>
          <w:color w:val="auto"/>
          <w:sz w:val="21"/>
          <w:szCs w:val="21"/>
          <w:highlight w:val="none"/>
          <w:lang w:val="en-US" w:eastAsia="zh-CN"/>
        </w:rPr>
        <w:t>宁夏枸杞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  <w:t>应符合中药材GAP管理要求，并通过GAP备案或延伸检查。</w:t>
      </w:r>
    </w:p>
    <w:p w14:paraId="2A289424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hint="eastAsia" w:ascii="黑体" w:hAnsi="黑体" w:eastAsia="黑体"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bCs/>
          <w:color w:val="auto"/>
          <w:sz w:val="21"/>
          <w:szCs w:val="21"/>
          <w:highlight w:val="none"/>
          <w:lang w:val="en-US" w:eastAsia="zh-CN"/>
        </w:rPr>
        <w:t>4.6.3 道地药材</w:t>
      </w:r>
    </w:p>
    <w:p w14:paraId="732C37D9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  <w:t>精</w:t>
      </w:r>
      <w:r>
        <w:rPr>
          <w:rFonts w:hint="eastAsia" w:ascii="宋体" w:hAnsi="宋体" w:cs="宋体"/>
          <w:bCs/>
          <w:color w:val="auto"/>
          <w:sz w:val="21"/>
          <w:szCs w:val="21"/>
          <w:highlight w:val="none"/>
          <w:lang w:val="en-US" w:eastAsia="zh-CN"/>
        </w:rPr>
        <w:t>品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  <w:t>药材</w:t>
      </w:r>
      <w:r>
        <w:rPr>
          <w:rFonts w:hint="eastAsia" w:ascii="宋体" w:hAnsi="宋体" w:cs="宋体"/>
          <w:bCs/>
          <w:color w:val="auto"/>
          <w:sz w:val="21"/>
          <w:szCs w:val="21"/>
          <w:highlight w:val="none"/>
          <w:lang w:val="en-US" w:eastAsia="zh-CN"/>
        </w:rPr>
        <w:t>宁夏枸杞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  <w:t>应符合道地药材要求，并通过第三方道地药材认证。</w:t>
      </w:r>
    </w:p>
    <w:p w14:paraId="1145A158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hint="default" w:ascii="黑体" w:hAnsi="黑体" w:eastAsia="黑体"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bCs/>
          <w:color w:val="auto"/>
          <w:sz w:val="21"/>
          <w:szCs w:val="21"/>
          <w:highlight w:val="none"/>
          <w:lang w:val="en-US" w:eastAsia="zh-CN"/>
        </w:rPr>
        <w:t>4.7 等级及集采要求</w:t>
      </w:r>
    </w:p>
    <w:p w14:paraId="10637A32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jc w:val="both"/>
        <w:textAlignment w:val="auto"/>
        <w:rPr>
          <w:rFonts w:hint="default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  <w:t>集采药材</w:t>
      </w:r>
      <w:r>
        <w:rPr>
          <w:rFonts w:hint="eastAsia" w:ascii="宋体" w:hAnsi="宋体" w:cs="宋体"/>
          <w:bCs/>
          <w:color w:val="auto"/>
          <w:sz w:val="21"/>
          <w:szCs w:val="21"/>
          <w:highlight w:val="none"/>
          <w:lang w:val="en-US" w:eastAsia="zh-CN"/>
        </w:rPr>
        <w:t>宁夏枸杞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  <w:t>统货、选货、精</w:t>
      </w:r>
      <w:r>
        <w:rPr>
          <w:rFonts w:hint="eastAsia" w:ascii="宋体" w:hAnsi="宋体" w:cs="宋体"/>
          <w:bCs/>
          <w:color w:val="auto"/>
          <w:sz w:val="21"/>
          <w:szCs w:val="21"/>
          <w:highlight w:val="none"/>
          <w:lang w:val="en-US" w:eastAsia="zh-CN"/>
        </w:rPr>
        <w:t>品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  <w:t>药材具体要求见</w:t>
      </w:r>
      <w:r>
        <w:rPr>
          <w:rFonts w:hint="eastAsia" w:ascii="宋体" w:hAnsi="宋体" w:cs="宋体"/>
          <w:bCs/>
          <w:color w:val="auto"/>
          <w:sz w:val="21"/>
          <w:szCs w:val="21"/>
          <w:highlight w:val="none"/>
          <w:lang w:val="en-US" w:eastAsia="zh-CN"/>
        </w:rPr>
        <w:t>表1。</w:t>
      </w:r>
    </w:p>
    <w:tbl>
      <w:tblPr>
        <w:tblStyle w:val="9"/>
        <w:tblW w:w="9700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0"/>
        <w:gridCol w:w="1940"/>
        <w:gridCol w:w="1935"/>
        <w:gridCol w:w="1734"/>
        <w:gridCol w:w="2151"/>
      </w:tblGrid>
      <w:tr w14:paraId="23E3BE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</w:trPr>
        <w:tc>
          <w:tcPr>
            <w:tcW w:w="97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09D82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表1 道地药材集采交易标准 宁夏枸杞</w:t>
            </w:r>
          </w:p>
        </w:tc>
      </w:tr>
      <w:tr w14:paraId="341AEF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388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  <mc:AlternateContent>
              <mc:Choice Requires="wpsCustomData">
                <wpsCustomData:diagonals>
                  <wpsCustomData:diagonal from="10000" to="30000">
                    <wpsCustomData:border w:val="single" w:color="000000" w:sz="4" w:space="0"/>
                  </wpsCustomData:diagonal>
                </wpsCustomData:diagonals>
              </mc:Choice>
            </mc:AlternateContent>
          </w:tcPr>
          <w:p w14:paraId="73DE7CB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  <w:p w14:paraId="3129431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mc:AlternateContent>
                <mc:Choice Requires="wpsCustomData">
                  <wpsCustomData:diagonalParaType/>
                </mc:Choice>
              </mc:AlternateContent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</w:t>
            </w:r>
          </w:p>
          <w:p w14:paraId="7CCE38C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等级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84C6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统货</w:t>
            </w:r>
          </w:p>
        </w:tc>
        <w:tc>
          <w:tcPr>
            <w:tcW w:w="1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FF10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选货</w:t>
            </w:r>
          </w:p>
        </w:tc>
        <w:tc>
          <w:tcPr>
            <w:tcW w:w="2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C831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精</w:t>
            </w:r>
            <w:r>
              <w:rPr>
                <w:rFonts w:hint="eastAsia" w:ascii="宋体" w:hAnsi="宋体" w:eastAsia="宋体" w:cs="宋体"/>
                <w:b w:val="0"/>
                <w:bCs w:val="0"/>
                <w:strike w:val="0"/>
                <w:dstrike w:val="0"/>
                <w:color w:val="000000"/>
                <w:sz w:val="18"/>
                <w:szCs w:val="18"/>
                <w:highlight w:val="none"/>
                <w:lang w:val="en-US" w:eastAsia="zh-CN"/>
              </w:rPr>
              <w:t>品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药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材</w:t>
            </w:r>
          </w:p>
        </w:tc>
      </w:tr>
      <w:tr w14:paraId="45F016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C7CD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来源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C9AE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种源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934E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茄科植物宁夏枸杞</w:t>
            </w:r>
            <w:r>
              <w:rPr>
                <w:rFonts w:hint="eastAsia" w:ascii="宋体" w:hAnsi="宋体" w:eastAsia="宋体" w:cs="宋体"/>
                <w:i/>
                <w:iCs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Lycium barbarum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 xml:space="preserve"> L.</w:t>
            </w:r>
          </w:p>
        </w:tc>
      </w:tr>
      <w:tr w14:paraId="167FA5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93AD5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CA4A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药用部位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97EA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干燥成熟果实</w:t>
            </w:r>
          </w:p>
        </w:tc>
      </w:tr>
      <w:tr w14:paraId="53B0A4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7ED57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C86A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采收时间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B80E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夏、秋二季果实呈红色时采收</w:t>
            </w:r>
          </w:p>
        </w:tc>
      </w:tr>
      <w:tr w14:paraId="046EFD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E3383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0744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产地加工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250F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热风烘干，除去果梗，或晾至皮皱后，晒干，除去果梗</w:t>
            </w:r>
          </w:p>
        </w:tc>
      </w:tr>
      <w:tr w14:paraId="016AAA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C7952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9999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产地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D19C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宁夏中宁县核心产区及其周边(宁夏盐池县以西至中卫沙坡头区,惠农县以南至固原原州区)</w:t>
            </w:r>
          </w:p>
        </w:tc>
      </w:tr>
      <w:tr w14:paraId="1EE324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79B4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性状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F336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形状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16F6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本品呈类纺锤形或椭圆形</w:t>
            </w:r>
          </w:p>
        </w:tc>
      </w:tr>
      <w:tr w14:paraId="2DB902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7558C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5C40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气味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675A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气微，味甜</w:t>
            </w:r>
          </w:p>
        </w:tc>
      </w:tr>
      <w:tr w14:paraId="3B7BCF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7DF60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8748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果皮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C7A4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果皮柔韧，皱缩</w:t>
            </w:r>
          </w:p>
        </w:tc>
      </w:tr>
      <w:tr w14:paraId="08C702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113DE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0EE7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果肉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8F7C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果肉肉质，柔润，表面浅黄色或棕黄色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。</w:t>
            </w:r>
          </w:p>
        </w:tc>
      </w:tr>
      <w:tr w14:paraId="43D0E8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B3A19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941A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表面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7D7C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表面红色或暗红色，顶端有小突起状的花柱痕，基部有白色的果梗痕</w:t>
            </w:r>
          </w:p>
        </w:tc>
      </w:tr>
      <w:tr w14:paraId="12B340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6BC8B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  <w:t>鉴别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521A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鉴别（1）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87E5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本品粉末黄橙色或红棕色。外果皮表皮细胞表面观呈类多角形或长多角形，垂周壁平直或细波状弯曲，外平周壁表面有平行的角质条纹。中果皮薄壁细胞呈类多角形，壁薄，胞腔内含橙红色或红棕色球形颗粒。种皮石细胞表面观不规则多角形，壁厚，波状弯曲，层纹清晰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。</w:t>
            </w:r>
          </w:p>
        </w:tc>
      </w:tr>
      <w:tr w14:paraId="00D80E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58149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 w:eastAsia="zh-CN"/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1DD3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鉴别（2）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AA24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取本品0.5g，加水35ml，加热煮沸15分钟，放冷，滤过，滤液用乙酸乙酯15ml振摇提取，分取乙酸乙酯液，浓缩至1ml，作为供试品溶液。另取枸杞子对照药材0.5g，同法制成对照药材溶液。照薄层色谱法（通则0502）试验，吸取上述两种溶液各5μl，分别点于同一硅胶G薄层板上，以乙酸乙酯-三氯甲烷-甲酸（3∶2∶1）为展开剂，展开，取出，晾干，置紫外光灯（365nm）下检视。供试品色谱中，在与对照药材色谱相应的位置上，显相同颜色的荧光斑点</w:t>
            </w: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。</w:t>
            </w:r>
          </w:p>
        </w:tc>
      </w:tr>
      <w:tr w14:paraId="6A482D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09B43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检查</w:t>
            </w:r>
          </w:p>
        </w:tc>
        <w:tc>
          <w:tcPr>
            <w:tcW w:w="1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2564B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杂质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8F60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少于3%</w:t>
            </w:r>
          </w:p>
        </w:tc>
      </w:tr>
      <w:tr w14:paraId="2EB654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5EF67D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56E39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水分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FFC2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不得过13.0%</w:t>
            </w:r>
          </w:p>
        </w:tc>
      </w:tr>
      <w:tr w14:paraId="7CB6AB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3703B4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DD950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灰分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5C08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不得过5.0%</w:t>
            </w:r>
          </w:p>
        </w:tc>
      </w:tr>
      <w:tr w14:paraId="4DFADE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B77A61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8308C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*农药残留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BCC85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《中华人民共和国药典》2020年版规定的农残不得检出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。</w:t>
            </w:r>
          </w:p>
        </w:tc>
      </w:tr>
      <w:tr w14:paraId="478F76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E2C68D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5EF5C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*二氧化硫残留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B76A2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不得过150mg/kg</w:t>
            </w:r>
          </w:p>
        </w:tc>
      </w:tr>
      <w:tr w14:paraId="07DC81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000000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 w14:paraId="386799E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D3F65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*重金属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残留</w:t>
            </w:r>
          </w:p>
        </w:tc>
        <w:tc>
          <w:tcPr>
            <w:tcW w:w="58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F0F7B7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铅不得过10mg/kg；镉不得过1mg/kg；砷不得过5mg/kg；汞不得过1mg/kg；铜不得过20mg/kg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。</w:t>
            </w:r>
          </w:p>
        </w:tc>
      </w:tr>
      <w:tr w14:paraId="0DDCF6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tcBorders>
              <w:top w:val="single" w:color="000000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 w14:paraId="2E2FBB6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浸出物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C5A98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-</w:t>
            </w:r>
          </w:p>
        </w:tc>
        <w:tc>
          <w:tcPr>
            <w:tcW w:w="58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CBC0D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不得少于55.0%</w:t>
            </w:r>
          </w:p>
        </w:tc>
      </w:tr>
      <w:tr w14:paraId="69CD17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BAEB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含量</w:t>
            </w:r>
          </w:p>
        </w:tc>
        <w:tc>
          <w:tcPr>
            <w:tcW w:w="19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FCD6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葡萄糖（C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vertAlign w:val="subscript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H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vertAlign w:val="subscript"/>
                <w:lang w:val="en-US" w:eastAsia="zh-CN" w:bidi="ar"/>
              </w:rPr>
              <w:t>12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O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vertAlign w:val="subscript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）</w:t>
            </w:r>
          </w:p>
        </w:tc>
        <w:tc>
          <w:tcPr>
            <w:tcW w:w="5820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FFF0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不得少于1.8%</w:t>
            </w:r>
          </w:p>
        </w:tc>
      </w:tr>
      <w:tr w14:paraId="4E73F4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BC341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D6B1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甜菜碱（C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vertAlign w:val="subscript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H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vertAlign w:val="subscript"/>
                <w:lang w:val="en-US" w:eastAsia="zh-CN" w:bidi="ar"/>
              </w:rPr>
              <w:t>11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NO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vertAlign w:val="subscript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）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554C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不得少于0.50%</w:t>
            </w:r>
          </w:p>
        </w:tc>
      </w:tr>
      <w:tr w14:paraId="46900F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927D7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质量控制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B73E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可追溯*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A530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通过第三方溯源评价</w:t>
            </w:r>
          </w:p>
        </w:tc>
      </w:tr>
      <w:tr w14:paraId="4A954E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98A044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118A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GAP*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3D1C0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EEE56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5B3DD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GAP备案</w:t>
            </w:r>
            <w:r>
              <w:rPr>
                <w:rFonts w:hint="eastAsia" w:ascii="宋体" w:hAnsi="宋体" w:cs="Times New Roman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或</w:t>
            </w:r>
            <w:r>
              <w:rPr>
                <w:rFonts w:hint="eastAsia" w:ascii="宋体" w:hAnsi="宋体" w:eastAsia="宋体" w:cs="宋体"/>
                <w:bCs/>
                <w:color w:val="auto"/>
                <w:sz w:val="18"/>
                <w:szCs w:val="18"/>
                <w:lang w:val="en-US" w:eastAsia="zh-CN"/>
              </w:rPr>
              <w:t>延伸</w:t>
            </w:r>
            <w:r>
              <w:rPr>
                <w:rFonts w:hint="eastAsia" w:ascii="宋体" w:hAnsi="宋体" w:cs="宋体"/>
                <w:bCs/>
                <w:color w:val="auto"/>
                <w:sz w:val="18"/>
                <w:szCs w:val="18"/>
                <w:lang w:val="en-US" w:eastAsia="zh-CN"/>
              </w:rPr>
              <w:t>审查通过</w:t>
            </w:r>
          </w:p>
        </w:tc>
      </w:tr>
      <w:tr w14:paraId="558C43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32D44B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BAF2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道地药材*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32720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9AD65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5EBCB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道地药材认证</w:t>
            </w:r>
          </w:p>
        </w:tc>
      </w:tr>
    </w:tbl>
    <w:p w14:paraId="7440E197">
      <w:pPr>
        <w:rPr>
          <w:rFonts w:hint="default" w:ascii="黑体" w:hAnsi="黑体" w:eastAsia="黑体"/>
          <w:bCs/>
          <w:color w:val="auto"/>
          <w:sz w:val="30"/>
          <w:szCs w:val="30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18"/>
          <w:szCs w:val="18"/>
          <w:highlight w:val="none"/>
          <w:lang w:val="en-US" w:eastAsia="zh-CN"/>
        </w:rPr>
        <w:br w:type="page"/>
      </w:r>
    </w:p>
    <w:p w14:paraId="5745E1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outlineLvl w:val="0"/>
        <w:rPr>
          <w:rFonts w:hint="eastAsia" w:ascii="黑体" w:hAnsi="黑体" w:eastAsia="黑体"/>
          <w:strike w:val="0"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strike w:val="0"/>
          <w:color w:val="000000"/>
          <w:sz w:val="21"/>
          <w:szCs w:val="21"/>
          <w:highlight w:val="none"/>
          <w:lang w:val="en-US" w:eastAsia="zh-CN"/>
        </w:rPr>
        <w:t>附录A</w:t>
      </w:r>
    </w:p>
    <w:p w14:paraId="109BC5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outlineLvl w:val="0"/>
        <w:rPr>
          <w:rFonts w:hint="eastAsia" w:ascii="黑体" w:hAnsi="黑体" w:eastAsia="黑体"/>
          <w:strike w:val="0"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strike w:val="0"/>
          <w:color w:val="000000"/>
          <w:sz w:val="21"/>
          <w:szCs w:val="21"/>
          <w:highlight w:val="none"/>
          <w:lang w:val="en-US" w:eastAsia="zh-CN"/>
        </w:rPr>
        <w:t>（规范性附录）</w:t>
      </w:r>
    </w:p>
    <w:p w14:paraId="50C3586F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default" w:ascii="黑体" w:hAnsi="黑体" w:eastAsia="黑体"/>
          <w:strike w:val="0"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/>
          <w:strike w:val="0"/>
          <w:color w:val="000000"/>
          <w:sz w:val="21"/>
          <w:szCs w:val="21"/>
          <w:highlight w:val="none"/>
          <w:lang w:val="en-US" w:eastAsia="zh-CN"/>
        </w:rPr>
        <w:t>宁夏枸杞集采交易规格等级性状图</w:t>
      </w:r>
    </w:p>
    <w:p w14:paraId="473CD73A">
      <w:pPr>
        <w:pStyle w:val="4"/>
        <w:snapToGrid/>
        <w:spacing w:before="312" w:beforeLines="100" w:after="312" w:afterLines="100"/>
        <w:jc w:val="left"/>
        <w:rPr>
          <w:rFonts w:hint="default" w:ascii="黑体" w:hAnsi="黑体" w:eastAsia="黑体"/>
          <w:strike w:val="0"/>
          <w:color w:val="000000"/>
          <w:sz w:val="21"/>
          <w:szCs w:val="21"/>
          <w:highlight w:val="none"/>
          <w:lang w:val="en-US" w:eastAsia="zh-CN"/>
        </w:rPr>
      </w:pPr>
      <w:r>
        <w:rPr>
          <w:rFonts w:hint="default" w:ascii="黑体" w:hAnsi="黑体" w:eastAsia="黑体"/>
          <w:strike w:val="0"/>
          <w:color w:val="000000"/>
          <w:sz w:val="21"/>
          <w:szCs w:val="21"/>
          <w:highlight w:val="none"/>
          <w:lang w:val="en-US" w:eastAsia="zh-CN"/>
        </w:rPr>
        <w:drawing>
          <wp:inline distT="0" distB="0" distL="114300" distR="114300">
            <wp:extent cx="5518785" cy="4295775"/>
            <wp:effectExtent l="0" t="0" r="0" b="0"/>
            <wp:docPr id="16" name="图片 16" descr="52-枸杞子（甘肃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52-枸杞子（甘肃）"/>
                    <pic:cNvPicPr>
                      <a:picLocks noChangeAspect="1"/>
                    </pic:cNvPicPr>
                  </pic:nvPicPr>
                  <pic:blipFill>
                    <a:blip r:embed="rId16"/>
                    <a:srcRect l="5784" r="4284" b="3218"/>
                    <a:stretch>
                      <a:fillRect/>
                    </a:stretch>
                  </pic:blipFill>
                  <pic:spPr>
                    <a:xfrm>
                      <a:off x="0" y="0"/>
                      <a:ext cx="5518785" cy="429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68A562">
      <w:pPr>
        <w:pStyle w:val="4"/>
        <w:snapToGrid/>
        <w:spacing w:before="312" w:beforeLines="100" w:after="312" w:afterLines="100"/>
        <w:jc w:val="both"/>
        <w:rPr>
          <w:rFonts w:hint="eastAsia" w:ascii="宋体" w:hAnsi="宋体" w:eastAsia="宋体" w:cs="宋体"/>
          <w:strike w:val="0"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trike w:val="0"/>
          <w:color w:val="000000"/>
          <w:sz w:val="21"/>
          <w:szCs w:val="21"/>
          <w:highlight w:val="none"/>
          <w:lang w:val="en-US" w:eastAsia="zh-CN"/>
        </w:rPr>
        <w:t>注：图左一选货，图右一统货。</w:t>
      </w:r>
    </w:p>
    <w:p w14:paraId="2F58B5F4">
      <w:pPr>
        <w:pStyle w:val="4"/>
        <w:snapToGrid/>
        <w:spacing w:before="312" w:beforeLines="100" w:after="312" w:afterLines="100"/>
        <w:jc w:val="center"/>
        <w:rPr>
          <w:rFonts w:hint="eastAsia" w:ascii="黑体" w:hAnsi="黑体" w:eastAsia="黑体" w:cs="黑体"/>
          <w:strike w:val="0"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 w:cs="黑体"/>
          <w:strike w:val="0"/>
          <w:color w:val="000000"/>
          <w:sz w:val="21"/>
          <w:szCs w:val="21"/>
          <w:highlight w:val="none"/>
          <w:lang w:val="en-US" w:eastAsia="zh-CN"/>
        </w:rPr>
        <w:t>图A1枸杞子规格等级性状图</w:t>
      </w:r>
    </w:p>
    <w:p w14:paraId="21AD3FFC">
      <w:pPr>
        <w:rPr>
          <w:rFonts w:hint="default" w:ascii="黑体" w:hAnsi="黑体" w:eastAsia="黑体"/>
          <w:bCs/>
          <w:color w:val="auto"/>
          <w:sz w:val="30"/>
          <w:szCs w:val="30"/>
          <w:highlight w:val="none"/>
          <w:lang w:val="en-US" w:eastAsia="zh-CN"/>
        </w:rPr>
      </w:pPr>
      <w:r>
        <w:rPr>
          <w:rFonts w:hint="default" w:ascii="黑体" w:hAnsi="黑体" w:eastAsia="黑体"/>
          <w:bCs/>
          <w:color w:val="auto"/>
          <w:sz w:val="30"/>
          <w:szCs w:val="30"/>
          <w:highlight w:val="none"/>
          <w:lang w:val="en-US" w:eastAsia="zh-CN"/>
        </w:rPr>
        <w:br w:type="page"/>
      </w:r>
    </w:p>
    <w:p w14:paraId="11FE12F8">
      <w:pPr>
        <w:keepNext w:val="0"/>
        <w:keepLines w:val="0"/>
        <w:pageBreakBefore w:val="0"/>
        <w:widowControl w:val="0"/>
        <w:tabs>
          <w:tab w:val="center" w:pos="0"/>
          <w:tab w:val="center" w:pos="4201"/>
          <w:tab w:val="right" w:leader="dot" w:pos="9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outlineLvl w:val="0"/>
        <w:rPr>
          <w:rFonts w:ascii="黑体" w:hAnsi="黑体" w:eastAsia="黑体" w:cs="宋体"/>
          <w:color w:val="auto"/>
          <w:sz w:val="21"/>
          <w:szCs w:val="21"/>
        </w:rPr>
      </w:pPr>
      <w:r>
        <w:rPr>
          <w:rFonts w:hint="eastAsia" w:ascii="黑体" w:hAnsi="黑体" w:eastAsia="黑体"/>
          <w:bCs/>
          <w:color w:val="auto"/>
          <w:sz w:val="32"/>
          <w:szCs w:val="32"/>
          <w:highlight w:val="none"/>
        </w:rPr>
        <w:t xml:space="preserve"> </w:t>
      </w:r>
      <w:bookmarkEnd w:id="20"/>
      <w:bookmarkStart w:id="21" w:name="_Toc25047693"/>
      <w:bookmarkStart w:id="22" w:name="_Toc16858"/>
      <w:bookmarkStart w:id="23" w:name="_Toc9701"/>
      <w:bookmarkStart w:id="24" w:name="_Toc15722"/>
      <w:bookmarkStart w:id="25" w:name="_Toc7443"/>
      <w:bookmarkStart w:id="26" w:name="_Toc30293"/>
      <w:bookmarkStart w:id="27" w:name="_Toc26118"/>
      <w:bookmarkStart w:id="28" w:name="_Toc27406"/>
      <w:r>
        <w:rPr>
          <w:rFonts w:hint="eastAsia" w:ascii="黑体" w:hAnsi="黑体" w:eastAsia="黑体" w:cs="宋体"/>
          <w:color w:val="auto"/>
          <w:sz w:val="21"/>
          <w:szCs w:val="21"/>
        </w:rPr>
        <w:t>参考文献</w:t>
      </w:r>
      <w:bookmarkEnd w:id="21"/>
      <w:bookmarkEnd w:id="22"/>
      <w:bookmarkEnd w:id="23"/>
      <w:bookmarkEnd w:id="24"/>
      <w:bookmarkEnd w:id="25"/>
      <w:bookmarkEnd w:id="26"/>
      <w:bookmarkEnd w:id="27"/>
      <w:bookmarkEnd w:id="28"/>
    </w:p>
    <w:p w14:paraId="483B49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[1] 全国人民代表大会常务委员会.中华人民共和国中医药法[M].北京:法律出版社,2017.</w:t>
      </w:r>
    </w:p>
    <w:p w14:paraId="1D1B01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[2] 国家药典委员会.中华人民共和国药典[M].北京:中国医药科技出版社,2020.</w:t>
      </w:r>
    </w:p>
    <w:p w14:paraId="2277F3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[3] 黄璐琦,郭兰萍,詹志来,等.中药材商品规格等级标准编制通则[S].北京:中国医药科技出版社,2018.</w:t>
      </w:r>
    </w:p>
    <w:p w14:paraId="04531E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[4] 彭成.中华道地药材[M].中国中医药出版社,2013.</w:t>
      </w:r>
    </w:p>
    <w:p w14:paraId="7BFF73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[5] 肖小河,黄璐琦.中药材商品规格标准化研究[M].人民卫生出版社,2016.</w:t>
      </w:r>
    </w:p>
    <w:p w14:paraId="751E81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[6] 黄璐琦,詹志来,郭兰萍,等.中药材商品规格等级标准汇编[G].中国中医药出版社,2019.</w:t>
      </w:r>
    </w:p>
    <w:p w14:paraId="23544A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[7] 黄璐琦.道地药材品质保证技术研究[M].上海科学技术出版社,2017.</w:t>
      </w:r>
    </w:p>
    <w:p w14:paraId="57CB46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</w:pPr>
      <w:r>
        <w:rPr>
          <w:rFonts w:hint="eastAsia" w:ascii="宋体" w:hAnsi="宋体" w:eastAsia="宋体" w:cs="宋体"/>
          <w:color w:val="auto"/>
        </w:rPr>
        <w:t>[8] 黄璐琦.《新编中国药材学》[M].中国医药科技出版社,2020.</w:t>
      </w:r>
    </w:p>
    <w:p w14:paraId="6275256A">
      <w:pPr>
        <w:tabs>
          <w:tab w:val="left" w:pos="6408"/>
        </w:tabs>
        <w:jc w:val="left"/>
      </w:pPr>
    </w:p>
    <w:p w14:paraId="18DFA3FB">
      <w:pPr>
        <w:jc w:val="left"/>
        <w:rPr>
          <w:color w:val="auto"/>
          <w:highlight w:val="none"/>
        </w:rPr>
      </w:pPr>
    </w:p>
    <w:p w14:paraId="339A8EF9">
      <w:pPr>
        <w:rPr>
          <w:color w:val="auto"/>
          <w:highlight w:val="none"/>
        </w:rPr>
      </w:pPr>
    </w:p>
    <w:sectPr>
      <w:footerReference r:id="rId13" w:type="default"/>
      <w:footerReference r:id="rId14" w:type="even"/>
      <w:pgSz w:w="11906" w:h="16838"/>
      <w:pgMar w:top="1417" w:right="1134" w:bottom="1134" w:left="1417" w:header="1191" w:footer="850" w:gutter="0"/>
      <w:pgNumType w:start="3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3A87CD">
    <w:pPr>
      <w:pStyle w:val="4"/>
      <w:ind w:firstLine="360"/>
      <w:jc w:val="right"/>
    </w:pPr>
  </w:p>
  <w:p w14:paraId="5CCE6470">
    <w:pPr>
      <w:pStyle w:val="4"/>
      <w:ind w:left="-283" w:leftChars="-135"/>
      <w:jc w:val="right"/>
    </w:pPr>
  </w:p>
  <w:p w14:paraId="1D920F5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07E632">
    <w:pPr>
      <w:pStyle w:val="4"/>
      <w:rPr>
        <w:rFonts w:ascii="宋体" w:hAnsi="宋体"/>
      </w:rPr>
    </w:pPr>
  </w:p>
  <w:p w14:paraId="50C1B14C"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5540E5">
    <w:pPr>
      <w:pStyle w:val="4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3DADEF">
    <w:pPr>
      <w:spacing w:line="200" w:lineRule="exact"/>
      <w:rPr>
        <w:sz w:val="20"/>
        <w:szCs w:val="20"/>
      </w:rPr>
    </w:pPr>
    <w: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255270" cy="23495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5270" cy="234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4F69193">
                          <w:pPr>
                            <w:spacing w:line="200" w:lineRule="exact"/>
                            <w:ind w:left="40"/>
                            <w:jc w:val="left"/>
                            <w:rPr>
                              <w:rFonts w:ascii="宋体" w:hAnsi="宋体" w:cs="宋体"/>
                              <w:sz w:val="18"/>
                              <w:szCs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宋体" w:hAnsi="宋体" w:cs="宋体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18"/>
                              <w:szCs w:val="18"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8.5pt;width:20.1pt;mso-position-horizontal:outside;mso-position-horizontal-relative:margin;z-index:251665408;mso-width-relative:page;mso-height-relative:page;" filled="f" stroked="f" coordsize="21600,21600" o:gfxdata="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cV8+JtQAAAADAQAADwAAAAAAAAABACAAAAAiAAAAZHJzL2Rvd25yZXYueG1sUEsBAhQAFAAA&#10;AAgAh07iQFBKG4S6AQAAcQMAAA4AAAAAAAAAAQAgAAAAIwEAAGRycy9lMm9Eb2MueG1sUEsFBgAA&#10;AAAGAAYAWQEAAE8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24F69193">
                    <w:pPr>
                      <w:spacing w:line="200" w:lineRule="exact"/>
                      <w:ind w:left="40"/>
                      <w:jc w:val="left"/>
                      <w:rPr>
                        <w:rFonts w:ascii="宋体" w:hAnsi="宋体" w:cs="宋体"/>
                        <w:sz w:val="18"/>
                        <w:szCs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宋体" w:hAnsi="宋体" w:cs="宋体"/>
                        <w:sz w:val="18"/>
                        <w:szCs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宋体" w:hAnsi="宋体" w:cs="宋体"/>
                        <w:sz w:val="18"/>
                        <w:szCs w:val="18"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24A250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2" name="文本框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-179349989"/>
                          </w:sdtPr>
                          <w:sdtContent>
                            <w:p w14:paraId="540A382F">
                              <w:pPr>
                                <w:pStyle w:val="4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8</w:t>
                              </w:r>
                              <w:r>
                                <w:fldChar w:fldCharType="end"/>
                              </w:r>
                            </w:p>
                          </w:sdtContent>
                        </w:sdt>
                        <w:p w14:paraId="586225CF"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745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EhxuIy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ESHG4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-179349989"/>
                    </w:sdtPr>
                    <w:sdtContent>
                      <w:p w14:paraId="540A382F">
                        <w:pPr>
                          <w:pStyle w:val="4"/>
                        </w:pPr>
                        <w:r>
                          <w:fldChar w:fldCharType="begin"/>
                        </w:r>
                        <w:r>
                          <w:instrText xml:space="preserve"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8</w:t>
                        </w:r>
                        <w:r>
                          <w:fldChar w:fldCharType="end"/>
                        </w:r>
                      </w:p>
                    </w:sdtContent>
                  </w:sdt>
                  <w:p w14:paraId="586225CF"/>
                </w:txbxContent>
              </v:textbox>
            </v:shape>
          </w:pict>
        </mc:Fallback>
      </mc:AlternateContent>
    </w:r>
  </w:p>
  <w:p w14:paraId="2D974B66">
    <w:pPr>
      <w:spacing w:line="200" w:lineRule="exact"/>
      <w:rPr>
        <w:sz w:val="20"/>
        <w:szCs w:val="20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F3CC76">
    <w:pPr>
      <w:spacing w:line="200" w:lineRule="exact"/>
      <w:rPr>
        <w:sz w:val="20"/>
        <w:szCs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5" name="文本框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CCC13BC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848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xyswEzAgAAYwQAAA4AAABkcnMvZTJvRG9jLnhtbK1US44TMRDdI3EH&#10;y3vSSdC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9MrSgzTqPj5x/fz&#10;z9/nX98IziBQ7cIccQ8OkbF5Zxu0zXAecJh4N6XX6QtGBH7Ie7rIK5pIeLo0m85mY7g4fMMG+NnT&#10;dedDfC+sJsnIqUf9WlnZcRtiFzqEpGzGbqRSbQ2VIXVOr99ejd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BxyswE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CCC13BC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A52CBD">
    <w:pPr>
      <w:spacing w:line="200" w:lineRule="exact"/>
      <w:rPr>
        <w:sz w:val="20"/>
        <w:szCs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6950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6" name="文本框 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040E288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950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uMeuoyAgAAYw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m4x66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040E288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49CBC4">
    <w:pPr>
      <w:pStyle w:val="18"/>
      <w:rPr>
        <w:rFonts w:hint="eastAsia" w:ascii="黑体" w:hAnsi="黑体" w:eastAsia="黑体"/>
        <w:sz w:val="21"/>
        <w:szCs w:val="21"/>
        <w:lang w:eastAsia="zh-CN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3C5A404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I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4" o:spid="_x0000_s1026" o:spt="202" type="#_x0000_t202" style="position:absolute;left:0pt;margin-top:0pt;height:144pt;width:144pt;mso-position-horizontal:inside;mso-position-horizontal-relative:margin;mso-wrap-style:none;z-index:251662336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O&#10;qXm5zwAAAAUBAAAPAAAAAAAAAAEAIAAAACIAAABkcnMvZG93bnJldi54bWxQSwECFAAUAAAACACH&#10;TuJAfIm5D/QBAAADBAAADgAAAAAAAAABACAAAAAeAQAAZHJzL2Uyb0RvYy54bWxQSwUGAAAAAAYA&#10;BgBZAQAAh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3C5A404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I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黑体" w:hAnsi="黑体" w:eastAsia="黑体"/>
        <w:sz w:val="21"/>
        <w:szCs w:val="21"/>
      </w:rPr>
      <w:t xml:space="preserve">RB </w:t>
    </w:r>
    <w:r>
      <w:rPr>
        <w:rFonts w:hint="eastAsia" w:ascii="黑体" w:hAnsi="黑体" w:eastAsia="黑体"/>
        <w:sz w:val="21"/>
        <w:szCs w:val="21"/>
        <w:lang w:eastAsia="zh-CN"/>
      </w:rPr>
      <w:t>枸杞子枸杞子</w:t>
    </w:r>
    <w:r>
      <w:rPr>
        <w:rFonts w:ascii="黑体" w:hAnsi="黑体" w:eastAsia="黑体"/>
        <w:sz w:val="21"/>
        <w:szCs w:val="21"/>
      </w:rPr>
      <w:t>X—</w:t>
    </w:r>
    <w:r>
      <w:rPr>
        <w:rFonts w:hint="eastAsia" w:ascii="黑体" w:hAnsi="黑体" w:eastAsia="黑体"/>
        <w:sz w:val="21"/>
        <w:szCs w:val="21"/>
        <w:lang w:eastAsia="zh-CN"/>
      </w:rPr>
      <w:t>枸杞子枸杞子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9AD557">
    <w:pPr>
      <w:pStyle w:val="18"/>
      <w:jc w:val="left"/>
      <w:rPr>
        <w:rFonts w:ascii="黑体" w:hAnsi="黑体" w:eastAsia="黑体"/>
        <w:sz w:val="21"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01AF481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5" o:spid="_x0000_s1026" o:spt="202" type="#_x0000_t202" style="position:absolute;left:0pt;margin-top:0pt;height:144pt;width:144pt;mso-position-horizontal:inside;mso-position-horizontal-relative:margin;mso-wrap-style:none;z-index:25166336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O&#10;qXm5zwAAAAUBAAAPAAAAAAAAAAEAIAAAACIAAABkcnMvZG93bnJldi54bWxQSwECFAAUAAAACACH&#10;TuJAiQB/TfQBAAADBAAADgAAAAAAAAABACAAAAAeAQAAZHJzL2Uyb0RvYy54bWxQSwUGAAAAAAYA&#10;BgBZAQAAh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101AF481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46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黑体" w:hAnsi="黑体" w:eastAsia="黑体"/>
        <w:sz w:val="21"/>
        <w:szCs w:val="21"/>
      </w:rPr>
      <w:t>RB</w:t>
    </w:r>
    <w:r>
      <w:rPr>
        <w:rFonts w:hint="eastAsia" w:ascii="黑体" w:hAnsi="黑体" w:eastAsia="黑体"/>
        <w:sz w:val="21"/>
        <w:szCs w:val="21"/>
      </w:rPr>
      <w:t xml:space="preserve">/T </w:t>
    </w:r>
  </w:p>
  <w:p w14:paraId="46E9B87B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F97531">
    <w: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58420" cy="161925"/>
              <wp:effectExtent l="0" t="0" r="0" b="0"/>
              <wp:wrapNone/>
              <wp:docPr id="3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420" cy="161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66DB2B9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top:0pt;height:12.75pt;width:4.6pt;mso-position-horizontal:inside;mso-position-horizontal-relative:margin;mso-wrap-style:none;z-index:251664384;mso-width-relative:page;mso-height-relative:page;" filled="f" stroked="f" coordsize="21600,21600" o:gfxdata="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icHeo0QAAAAIBAAAPAAAAAAAAAAEAIAAAACIAAABkcnMvZG93bnJldi54bWxQSwECFAAU&#10;AAAACACHTuJAI46PA/gBAAAABAAADgAAAAAAAAABACAAAAAgAQAAZHJzL2Uyb0RvYy54bWxQSwUG&#10;AAAAAAYABgBZAQAAi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66DB2B9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 xml:space="preserve">RB/T 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9E0DE4">
    <w:pPr>
      <w:pStyle w:val="5"/>
      <w:pBdr>
        <w:bottom w:val="none" w:color="auto" w:sz="0" w:space="1"/>
      </w:pBdr>
      <w:jc w:val="right"/>
    </w:pPr>
    <w:r>
      <w:rPr>
        <w:rFonts w:hint="eastAsia" w:ascii="黑体" w:hAnsi="黑体" w:eastAsia="黑体"/>
        <w:sz w:val="21"/>
        <w:szCs w:val="21"/>
        <w:lang w:val="en-US" w:eastAsia="zh-CN"/>
      </w:rPr>
      <w:t>T</w:t>
    </w:r>
    <w:r>
      <w:rPr>
        <w:rFonts w:hint="eastAsia" w:ascii="黑体" w:hAnsi="黑体" w:eastAsia="黑体"/>
        <w:sz w:val="21"/>
        <w:szCs w:val="21"/>
      </w:rPr>
      <w:t>/ZGXCFZXH</w:t>
    </w:r>
    <w:r>
      <w:rPr>
        <w:rFonts w:ascii="黑体" w:hAnsi="黑体" w:eastAsia="黑体"/>
        <w:sz w:val="21"/>
        <w:szCs w:val="21"/>
      </w:rPr>
      <w:t xml:space="preserve"> </w:t>
    </w:r>
    <w:r>
      <w:rPr>
        <w:rFonts w:hint="eastAsia" w:ascii="黑体" w:hAnsi="黑体" w:eastAsia="黑体"/>
        <w:sz w:val="21"/>
        <w:szCs w:val="21"/>
        <w:lang w:val="en-US" w:eastAsia="zh-CN"/>
      </w:rPr>
      <w:t>0001.15-2024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F420A2">
    <w:pPr>
      <w:pStyle w:val="5"/>
      <w:pBdr>
        <w:bottom w:val="none" w:color="auto" w:sz="0" w:space="1"/>
      </w:pBdr>
      <w:jc w:val="left"/>
    </w:pPr>
    <w:r>
      <w:rPr>
        <w:rFonts w:hint="eastAsia" w:ascii="黑体" w:hAnsi="黑体" w:eastAsia="黑体"/>
        <w:sz w:val="21"/>
        <w:szCs w:val="21"/>
        <w:lang w:val="en-US" w:eastAsia="zh-CN"/>
      </w:rPr>
      <w:t>T</w:t>
    </w:r>
    <w:r>
      <w:rPr>
        <w:rFonts w:hint="eastAsia" w:ascii="黑体" w:hAnsi="黑体" w:eastAsia="黑体"/>
        <w:sz w:val="21"/>
        <w:szCs w:val="21"/>
      </w:rPr>
      <w:t>/ZGXCFZXH</w:t>
    </w:r>
    <w:r>
      <w:rPr>
        <w:rFonts w:ascii="黑体" w:hAnsi="黑体" w:eastAsia="黑体"/>
        <w:sz w:val="21"/>
        <w:szCs w:val="21"/>
      </w:rPr>
      <w:t xml:space="preserve"> </w:t>
    </w:r>
    <w:r>
      <w:rPr>
        <w:rFonts w:hint="eastAsia" w:ascii="黑体" w:hAnsi="黑体" w:eastAsia="黑体"/>
        <w:sz w:val="21"/>
        <w:szCs w:val="21"/>
        <w:lang w:val="en-US" w:eastAsia="zh-CN"/>
      </w:rPr>
      <w:t>0001.15-2024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EzNThhZGZiODc5NTE3ODAxMDU0YWNiOGMyYThjMmYifQ=="/>
  </w:docVars>
  <w:rsids>
    <w:rsidRoot w:val="15B2766E"/>
    <w:rsid w:val="03110829"/>
    <w:rsid w:val="042C2978"/>
    <w:rsid w:val="07D478A0"/>
    <w:rsid w:val="0B2643A7"/>
    <w:rsid w:val="0CD93549"/>
    <w:rsid w:val="0CEB75A5"/>
    <w:rsid w:val="112515DF"/>
    <w:rsid w:val="158266C6"/>
    <w:rsid w:val="15B2766E"/>
    <w:rsid w:val="168068C1"/>
    <w:rsid w:val="186662F2"/>
    <w:rsid w:val="19733042"/>
    <w:rsid w:val="1A7A7A3E"/>
    <w:rsid w:val="1B5A68E3"/>
    <w:rsid w:val="1B78507E"/>
    <w:rsid w:val="1C8675B7"/>
    <w:rsid w:val="1E5634C8"/>
    <w:rsid w:val="1E861C86"/>
    <w:rsid w:val="1FC46101"/>
    <w:rsid w:val="23492C57"/>
    <w:rsid w:val="263B193B"/>
    <w:rsid w:val="28550131"/>
    <w:rsid w:val="295C6ED3"/>
    <w:rsid w:val="2A753B73"/>
    <w:rsid w:val="2E6F6B28"/>
    <w:rsid w:val="33047BE2"/>
    <w:rsid w:val="39455658"/>
    <w:rsid w:val="398E66CE"/>
    <w:rsid w:val="3F5F12EA"/>
    <w:rsid w:val="430A0DF9"/>
    <w:rsid w:val="4382772C"/>
    <w:rsid w:val="46185D83"/>
    <w:rsid w:val="46566D64"/>
    <w:rsid w:val="474451A1"/>
    <w:rsid w:val="47AE6527"/>
    <w:rsid w:val="4A7B2700"/>
    <w:rsid w:val="4E1C64F6"/>
    <w:rsid w:val="4E4B6454"/>
    <w:rsid w:val="4E7D05C3"/>
    <w:rsid w:val="4F145070"/>
    <w:rsid w:val="5073598C"/>
    <w:rsid w:val="50E60B4F"/>
    <w:rsid w:val="522A30F1"/>
    <w:rsid w:val="524467E0"/>
    <w:rsid w:val="52855575"/>
    <w:rsid w:val="52A36E43"/>
    <w:rsid w:val="554149BF"/>
    <w:rsid w:val="556B21D1"/>
    <w:rsid w:val="56121E41"/>
    <w:rsid w:val="595A2602"/>
    <w:rsid w:val="5D2D6150"/>
    <w:rsid w:val="5F740B83"/>
    <w:rsid w:val="5F8A1E93"/>
    <w:rsid w:val="611003E1"/>
    <w:rsid w:val="61245272"/>
    <w:rsid w:val="6655667C"/>
    <w:rsid w:val="68600824"/>
    <w:rsid w:val="71281202"/>
    <w:rsid w:val="712A66B5"/>
    <w:rsid w:val="71D36D7A"/>
    <w:rsid w:val="731D56CD"/>
    <w:rsid w:val="746F2FAE"/>
    <w:rsid w:val="75C90F16"/>
    <w:rsid w:val="75EF423C"/>
    <w:rsid w:val="76031347"/>
    <w:rsid w:val="78FC11DC"/>
    <w:rsid w:val="792D054A"/>
    <w:rsid w:val="796F6AF9"/>
    <w:rsid w:val="7CA0464C"/>
    <w:rsid w:val="7D052701"/>
    <w:rsid w:val="7F171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autoRedefine/>
    <w:qFormat/>
    <w:uiPriority w:val="0"/>
    <w:pPr>
      <w:jc w:val="left"/>
    </w:pPr>
  </w:style>
  <w:style w:type="paragraph" w:styleId="3">
    <w:name w:val="Body Text"/>
    <w:basedOn w:val="1"/>
    <w:autoRedefine/>
    <w:qFormat/>
    <w:uiPriority w:val="1"/>
    <w:pPr>
      <w:ind w:left="120"/>
    </w:pPr>
    <w:rPr>
      <w:rFonts w:ascii="宋体" w:hAnsi="宋体"/>
      <w:szCs w:val="21"/>
    </w:rPr>
  </w:style>
  <w:style w:type="paragraph" w:styleId="4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5">
    <w:name w:val="header"/>
    <w:basedOn w:val="1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oc 1"/>
    <w:basedOn w:val="1"/>
    <w:next w:val="1"/>
    <w:autoRedefine/>
    <w:qFormat/>
    <w:uiPriority w:val="39"/>
  </w:style>
  <w:style w:type="paragraph" w:styleId="7">
    <w:name w:val="toc 2"/>
    <w:basedOn w:val="1"/>
    <w:next w:val="1"/>
    <w:autoRedefine/>
    <w:qFormat/>
    <w:uiPriority w:val="39"/>
    <w:pPr>
      <w:ind w:left="420" w:leftChars="200"/>
    </w:pPr>
  </w:style>
  <w:style w:type="paragraph" w:styleId="8">
    <w:name w:val="HTML Preformatted"/>
    <w:basedOn w:val="1"/>
    <w:autoRedefine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styleId="11">
    <w:name w:val="Hyperlink"/>
    <w:autoRedefine/>
    <w:unhideWhenUsed/>
    <w:qFormat/>
    <w:uiPriority w:val="99"/>
    <w:rPr>
      <w:color w:val="0000FF"/>
      <w:u w:val="none"/>
    </w:rPr>
  </w:style>
  <w:style w:type="paragraph" w:customStyle="1" w:styleId="12">
    <w:name w:val="实施日期"/>
    <w:basedOn w:val="13"/>
    <w:autoRedefine/>
    <w:qFormat/>
    <w:uiPriority w:val="0"/>
    <w:pPr>
      <w:framePr w:wrap="around" w:vAnchor="page" w:hAnchor="text"/>
      <w:jc w:val="right"/>
    </w:pPr>
  </w:style>
  <w:style w:type="paragraph" w:customStyle="1" w:styleId="13">
    <w:name w:val="发布日期"/>
    <w:autoRedefine/>
    <w:qFormat/>
    <w:uiPriority w:val="0"/>
    <w:pPr>
      <w:framePr w:w="3997" w:h="471" w:hRule="exact" w:vSpace="181" w:wrap="around" w:vAnchor="margin" w:hAnchor="page" w:x="7089" w:y="14097" w:anchorLock="1"/>
    </w:pPr>
    <w:rPr>
      <w:rFonts w:ascii="Times New Roman" w:hAnsi="Times New Roman" w:eastAsia="黑体" w:cs="Times New Roman"/>
      <w:sz w:val="28"/>
      <w:lang w:val="en-US" w:eastAsia="zh-CN" w:bidi="ar-SA"/>
    </w:rPr>
  </w:style>
  <w:style w:type="paragraph" w:customStyle="1" w:styleId="14">
    <w:name w:val="段"/>
    <w:autoRedefine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Times New Roman" w:cs="Times New Roman"/>
      <w:sz w:val="21"/>
      <w:lang w:val="en-US" w:eastAsia="zh-CN" w:bidi="ar-SA"/>
    </w:rPr>
  </w:style>
  <w:style w:type="paragraph" w:customStyle="1" w:styleId="15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黑体"/>
      <w:color w:val="000000"/>
      <w:sz w:val="24"/>
      <w:szCs w:val="24"/>
      <w:lang w:val="en-US" w:eastAsia="zh-CN" w:bidi="ar-SA"/>
    </w:rPr>
  </w:style>
  <w:style w:type="paragraph" w:customStyle="1" w:styleId="16">
    <w:name w:val="文献分类号"/>
    <w:autoRedefine/>
    <w:qFormat/>
    <w:uiPriority w:val="0"/>
    <w:pPr>
      <w:framePr w:hSpace="180" w:vSpace="180" w:wrap="around" w:vAnchor="margin" w:hAnchor="margin" w:y="1" w:anchorLock="1"/>
      <w:widowControl w:val="0"/>
      <w:textAlignment w:val="center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17">
    <w:name w:val="标准称谓"/>
    <w:next w:val="1"/>
    <w:autoRedefine/>
    <w:qFormat/>
    <w:uiPriority w:val="0"/>
    <w:pPr>
      <w:framePr w:w="9639" w:h="624" w:hRule="exact" w:hSpace="181" w:vSpace="181" w:wrap="around" w:vAnchor="page" w:hAnchor="page" w:x="1419" w:y="2286" w:anchorLock="1"/>
      <w:widowControl w:val="0"/>
      <w:kinsoku w:val="0"/>
      <w:overflowPunct w:val="0"/>
      <w:autoSpaceDE w:val="0"/>
      <w:autoSpaceDN w:val="0"/>
      <w:spacing w:line="240" w:lineRule="atLeast"/>
      <w:jc w:val="distribute"/>
    </w:pPr>
    <w:rPr>
      <w:rFonts w:ascii="宋体" w:hAnsi="Times New Roman" w:eastAsia="宋体" w:cs="Times New Roman"/>
      <w:b/>
      <w:bCs/>
      <w:spacing w:val="20"/>
      <w:w w:val="148"/>
      <w:sz w:val="48"/>
      <w:lang w:val="en-US" w:eastAsia="zh-CN" w:bidi="ar-SA"/>
    </w:rPr>
  </w:style>
  <w:style w:type="paragraph" w:customStyle="1" w:styleId="18">
    <w:name w:val="封面标准号1"/>
    <w:autoRedefine/>
    <w:qFormat/>
    <w:uiPriority w:val="0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19">
    <w:name w:val="发布部门"/>
    <w:next w:val="1"/>
    <w:autoRedefine/>
    <w:qFormat/>
    <w:uiPriority w:val="0"/>
    <w:pPr>
      <w:framePr w:w="7938" w:h="1134" w:hRule="exact" w:hSpace="125" w:vSpace="181" w:wrap="around" w:vAnchor="page" w:hAnchor="page" w:x="2150" w:y="14630" w:anchorLock="1"/>
      <w:jc w:val="center"/>
    </w:pPr>
    <w:rPr>
      <w:rFonts w:ascii="宋体" w:hAnsi="Times New Roman" w:eastAsia="宋体" w:cs="Times New Roman"/>
      <w:b/>
      <w:spacing w:val="20"/>
      <w:w w:val="135"/>
      <w:sz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1.xml"/><Relationship Id="rId16" Type="http://schemas.openxmlformats.org/officeDocument/2006/relationships/image" Target="media/image1.jpeg"/><Relationship Id="rId15" Type="http://schemas.openxmlformats.org/officeDocument/2006/relationships/theme" Target="theme/theme1.xml"/><Relationship Id="rId14" Type="http://schemas.openxmlformats.org/officeDocument/2006/relationships/footer" Target="footer7.xml"/><Relationship Id="rId13" Type="http://schemas.openxmlformats.org/officeDocument/2006/relationships/footer" Target="footer6.xml"/><Relationship Id="rId12" Type="http://schemas.openxmlformats.org/officeDocument/2006/relationships/footer" Target="footer5.xml"/><Relationship Id="rId11" Type="http://schemas.openxmlformats.org/officeDocument/2006/relationships/footer" Target="footer4.xml"/><Relationship Id="rId10" Type="http://schemas.openxmlformats.org/officeDocument/2006/relationships/header" Target="head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1524</Words>
  <Characters>1913</Characters>
  <Lines>0</Lines>
  <Paragraphs>0</Paragraphs>
  <TotalTime>0</TotalTime>
  <ScaleCrop>false</ScaleCrop>
  <LinksUpToDate>false</LinksUpToDate>
  <CharactersWithSpaces>1969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2024-04-07T02:30:00Z</dcterms:created>
  <dc:creator>王琦</dc:creator>
  <cp:lastModifiedBy>杨～有机认证</cp:lastModifiedBy>
  <dcterms:modified xsi:type="dcterms:W3CDTF">2024-11-20T09:00:47Z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1EDF1A95A5E149F3A519BBC700C02CEC_13</vt:lpwstr>
  </property>
</Properties>
</file>