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A5D06C">
      <w:pPr>
        <w:spacing w:before="156" w:beforeLines="50" w:after="156" w:afterLines="50"/>
        <w:ind w:right="-313" w:rightChars="-149"/>
        <w:jc w:val="left"/>
        <w:rPr>
          <w:rFonts w:ascii="Times New Roman" w:hAnsi="Times New Roman" w:eastAsia="黑体"/>
          <w:bCs/>
          <w:color w:val="000000"/>
          <w:szCs w:val="21"/>
        </w:rPr>
      </w:pPr>
      <w:r>
        <w:rPr>
          <w:rFonts w:ascii="Times New Roman" w:hAnsi="Times New Roman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940D047">
                            <w:pPr>
                              <w:pStyle w:val="21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6237B836">
                            <w:pPr>
                              <w:pStyle w:val="21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66861BE4">
                            <w:pPr>
                              <w:pStyle w:val="21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02E771EC">
                            <w:pPr>
                              <w:pStyle w:val="21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940D047">
                      <w:pPr>
                        <w:pStyle w:val="21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6237B836">
                      <w:pPr>
                        <w:pStyle w:val="21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66861BE4">
                      <w:pPr>
                        <w:pStyle w:val="21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02E771EC">
                      <w:pPr>
                        <w:pStyle w:val="21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42D0C62">
      <w:pPr>
        <w:spacing w:before="156" w:beforeLines="50" w:after="156" w:afterLines="50"/>
        <w:jc w:val="left"/>
        <w:rPr>
          <w:rFonts w:ascii="Times New Roman" w:hAnsi="Times New Roman"/>
          <w:bCs/>
          <w:color w:val="000000"/>
          <w:sz w:val="32"/>
          <w:szCs w:val="32"/>
        </w:rPr>
      </w:pPr>
    </w:p>
    <w:p w14:paraId="60808688">
      <w:pPr>
        <w:spacing w:before="156" w:beforeLines="50" w:after="156" w:afterLines="50"/>
        <w:jc w:val="lef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8F07DE">
                            <w:pPr>
                              <w:pStyle w:val="21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78F07DE">
                      <w:pPr>
                        <w:pStyle w:val="21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25FC61">
                            <w:pPr>
                              <w:pStyle w:val="22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725FC61">
                      <w:pPr>
                        <w:pStyle w:val="22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EA65F0">
                            <w:pPr>
                              <w:pStyle w:val="23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p w14:paraId="23B6A163">
                            <w:pPr>
                              <w:pStyle w:val="23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AEA65F0">
                      <w:pPr>
                        <w:pStyle w:val="23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p w14:paraId="23B6A163">
                      <w:pPr>
                        <w:pStyle w:val="23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Times New Roman" w:hAnsi="Times New Roman"/>
          <w:bCs/>
          <w:color w:val="000000"/>
          <w:sz w:val="32"/>
          <w:szCs w:val="32"/>
        </w:rPr>
        <w:t>、</w:t>
      </w:r>
    </w:p>
    <w:p w14:paraId="1DAE0407">
      <w:pPr>
        <w:spacing w:before="2268" w:after="567"/>
        <w:jc w:val="center"/>
        <w:rPr>
          <w:rFonts w:ascii="Times New Roman" w:hAnsi="Times New Roman" w:eastAsia="黑体"/>
          <w:bCs/>
          <w:color w:val="000000"/>
          <w:sz w:val="52"/>
          <w:szCs w:val="52"/>
        </w:rPr>
      </w:pPr>
      <w:r>
        <w:rPr>
          <w:rFonts w:hint="eastAsia" w:ascii="Times New Roman" w:hAnsi="Times New Roman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ascii="Times New Roman" w:hAnsi="Times New Roman" w:eastAsia="黑体"/>
          <w:bCs/>
          <w:color w:val="000000"/>
          <w:sz w:val="52"/>
          <w:szCs w:val="52"/>
        </w:rPr>
        <w:t>药材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 w:eastAsia="黑体"/>
          <w:bCs/>
          <w:color w:val="000000"/>
          <w:sz w:val="52"/>
          <w:szCs w:val="52"/>
        </w:rPr>
        <w:t>集采交易标准 白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C5E8DA">
                            <w:pPr>
                              <w:pStyle w:val="18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DC5E8DA">
                      <w:pPr>
                        <w:pStyle w:val="18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 w:eastAsia="黑体"/>
          <w:bCs/>
          <w:color w:val="000000"/>
          <w:sz w:val="52"/>
          <w:szCs w:val="52"/>
        </w:rPr>
        <w:t>芷</w:t>
      </w:r>
    </w:p>
    <w:p w14:paraId="78E41142">
      <w:pPr>
        <w:spacing w:before="156" w:beforeLines="50" w:after="156" w:afterLines="50"/>
        <w:jc w:val="center"/>
        <w:rPr>
          <w:rFonts w:ascii="Times New Roman" w:hAnsi="Times New Roman" w:eastAsia="黑体"/>
          <w:color w:val="000000"/>
          <w:sz w:val="52"/>
          <w:szCs w:val="52"/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Centralized procurement standard for genuine regional materia medica</w:t>
      </w:r>
    </w:p>
    <w:p w14:paraId="5868D414">
      <w:pPr>
        <w:spacing w:before="156" w:beforeLines="50" w:after="156" w:afterLines="50"/>
        <w:jc w:val="center"/>
        <w:rPr>
          <w:rFonts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ANGELICAE DAHURICAE RADIX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1C30E6E1">
      <w:pPr>
        <w:spacing w:before="156" w:beforeLines="50" w:after="156" w:afterLines="50"/>
        <w:jc w:val="center"/>
        <w:rPr>
          <w:rFonts w:ascii="Times New Roman" w:hAnsi="Times New Roman" w:eastAsia="黑体"/>
          <w:bCs/>
          <w:sz w:val="28"/>
          <w:szCs w:val="28"/>
        </w:rPr>
      </w:pPr>
      <w:bookmarkStart w:id="37" w:name="_GoBack"/>
      <w:bookmarkEnd w:id="37"/>
      <w:r>
        <w:rPr>
          <w:rFonts w:ascii="Times New Roman" w:hAnsi="Times New Roman" w:eastAsia="黑体"/>
          <w:bCs/>
          <w:sz w:val="28"/>
          <w:szCs w:val="28"/>
        </w:rPr>
        <w:t xml:space="preserve"> </w:t>
      </w:r>
    </w:p>
    <w:p w14:paraId="57FEA9E3">
      <w:pPr>
        <w:spacing w:before="156" w:beforeLines="50" w:after="156" w:afterLines="50"/>
        <w:rPr>
          <w:rFonts w:ascii="Times New Roman" w:hAnsi="Times New Roman"/>
          <w:color w:val="000000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Times New Roman" w:hAnsi="Times New Roman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2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70E78ED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871245D">
                                  <w:pPr>
                                    <w:pStyle w:val="24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A0D6D2">
                                  <w:pPr>
                                    <w:pStyle w:val="24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087BD658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2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70E78ED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871245D">
                            <w:pPr>
                              <w:pStyle w:val="24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A0D6D2">
                            <w:pPr>
                              <w:pStyle w:val="24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087BD658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424DED">
                            <w:pPr>
                              <w:pStyle w:val="18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2024-××-××发布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5424DED">
                      <w:pPr>
                        <w:pStyle w:val="18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2024-××-××发布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A294448">
      <w:pPr>
        <w:pStyle w:val="6"/>
        <w:snapToGrid/>
        <w:spacing w:before="312" w:beforeLines="100" w:after="312" w:afterLines="100"/>
        <w:jc w:val="center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840"/>
      <w:bookmarkStart w:id="1" w:name="_Toc30137"/>
      <w:bookmarkStart w:id="2" w:name="_Toc7349"/>
      <w:bookmarkStart w:id="3" w:name="_Toc31551"/>
      <w:bookmarkStart w:id="4" w:name="_Toc13900"/>
      <w:bookmarkStart w:id="5" w:name="_Toc5094"/>
      <w:bookmarkStart w:id="6" w:name="_Toc22401"/>
      <w:bookmarkStart w:id="7" w:name="_Toc26541137"/>
      <w:bookmarkStart w:id="8" w:name="_Toc32599"/>
      <w:bookmarkStart w:id="9" w:name="_Toc29175"/>
      <w:bookmarkStart w:id="10" w:name="_Toc18223"/>
      <w:bookmarkStart w:id="11" w:name="_Toc11998"/>
      <w:bookmarkStart w:id="12" w:name="_Toc18100"/>
      <w:bookmarkStart w:id="13" w:name="_Toc13472"/>
      <w:bookmarkStart w:id="14" w:name="_Toc5123"/>
      <w:bookmarkStart w:id="15" w:name="_Toc21586"/>
      <w:bookmarkStart w:id="16" w:name="_Toc26679"/>
      <w:bookmarkStart w:id="17" w:name="_Toc19640"/>
      <w:bookmarkStart w:id="18" w:name="_Toc23109710"/>
      <w:bookmarkStart w:id="19" w:name="_Toc16010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  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1F3D8FA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本标准按照</w:t>
      </w:r>
      <w:r>
        <w:rPr>
          <w:rFonts w:hint="eastAsia" w:ascii="宋体" w:hAnsi="宋体" w:cs="宋体"/>
          <w:color w:val="000000"/>
          <w:szCs w:val="21"/>
        </w:rPr>
        <w:t>GB/T 1.1-2009</w:t>
      </w:r>
      <w:r>
        <w:rPr>
          <w:rFonts w:ascii="Times New Roman" w:hAnsi="Times New Roman"/>
          <w:color w:val="000000"/>
          <w:szCs w:val="21"/>
        </w:rPr>
        <w:t>《标准化工作导则 第1部分：标准的结构和编写》给出的规则起草。</w:t>
      </w:r>
    </w:p>
    <w:p w14:paraId="1952B3E9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本标准由中国乡村发展协会提出并归口。</w:t>
      </w:r>
    </w:p>
    <w:p w14:paraId="5F3F2C6A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本标准起草单位：成都中医药大学、</w:t>
      </w:r>
      <w:r>
        <w:rPr>
          <w:rFonts w:hint="eastAsia" w:ascii="Times New Roman" w:hAnsi="Times New Roman"/>
          <w:color w:val="000000"/>
          <w:szCs w:val="21"/>
        </w:rPr>
        <w:t>遂宁市船山区农业局、四川全泰堂川白芷产业有限公司、四川新绿色药业科技发展有限公司、中健安检测认证中心有限公司。</w:t>
      </w:r>
    </w:p>
    <w:p w14:paraId="1A52B8C0">
      <w:pPr>
        <w:widowControl/>
        <w:tabs>
          <w:tab w:val="center" w:pos="4201"/>
          <w:tab w:val="right" w:leader="dot" w:pos="9298"/>
        </w:tabs>
        <w:ind w:firstLine="420" w:firstLineChars="200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/>
          <w:color w:val="000000"/>
          <w:szCs w:val="21"/>
        </w:rPr>
        <w:t>本标准主要起草人：</w:t>
      </w:r>
      <w:r>
        <w:rPr>
          <w:rFonts w:hint="eastAsia" w:ascii="Times New Roman" w:hAnsi="Times New Roman"/>
          <w:color w:val="000000"/>
          <w:szCs w:val="21"/>
        </w:rPr>
        <w:t>蒋桂华、高继海、连艳、甘政坤、杨佳琦、陈翔、韩辉军、刘大章、郑全林、刘兵、成涛、周厚成、庞家鹅、谭孝、冯耀文、王琦。</w:t>
      </w:r>
    </w:p>
    <w:p w14:paraId="31FB3EBC">
      <w:pPr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ascii="Times New Roman" w:hAnsi="Times New Roman" w:eastAsia="黑体"/>
          <w:bCs/>
          <w:color w:val="000000"/>
          <w:sz w:val="32"/>
          <w:szCs w:val="32"/>
        </w:rPr>
        <w:br w:type="page"/>
      </w:r>
    </w:p>
    <w:p w14:paraId="18F37107">
      <w:pPr>
        <w:spacing w:before="312" w:beforeLines="100" w:after="312" w:afterLines="100"/>
        <w:jc w:val="center"/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 xml:space="preserve">药材集采交易标准 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>川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白芷</w:t>
      </w:r>
    </w:p>
    <w:p w14:paraId="677A7FA7">
      <w:pPr>
        <w:pStyle w:val="6"/>
        <w:snapToGrid/>
        <w:spacing w:before="312" w:beforeLines="100" w:after="312" w:afterLines="10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1 范围</w:t>
      </w:r>
    </w:p>
    <w:p w14:paraId="4FC6CAE7">
      <w:pPr>
        <w:pStyle w:val="6"/>
        <w:snapToGrid/>
        <w:ind w:firstLine="420" w:firstLineChars="200"/>
        <w:jc w:val="both"/>
        <w:rPr>
          <w:rFonts w:ascii="Times New Roman" w:hAnsi="Times New Roman"/>
          <w:bCs/>
          <w:color w:val="000000"/>
          <w:sz w:val="21"/>
          <w:szCs w:val="21"/>
        </w:rPr>
      </w:pPr>
      <w:r>
        <w:rPr>
          <w:rFonts w:ascii="Times New Roman" w:hAnsi="Times New Roman"/>
          <w:bCs/>
          <w:color w:val="000000"/>
          <w:sz w:val="21"/>
          <w:szCs w:val="21"/>
        </w:rPr>
        <w:t>本标准规定了</w:t>
      </w:r>
      <w:r>
        <w:rPr>
          <w:rFonts w:hint="eastAsia" w:ascii="Times New Roman" w:hAnsi="Times New Roman"/>
          <w:bCs/>
          <w:color w:val="000000"/>
          <w:sz w:val="21"/>
          <w:szCs w:val="21"/>
          <w:lang w:val="en-US" w:eastAsia="zh-CN"/>
        </w:rPr>
        <w:t>道地</w:t>
      </w:r>
      <w:r>
        <w:rPr>
          <w:rFonts w:ascii="Times New Roman" w:hAnsi="Times New Roman"/>
          <w:bCs/>
          <w:color w:val="000000"/>
          <w:sz w:val="21"/>
          <w:szCs w:val="21"/>
        </w:rPr>
        <w:t>药材</w:t>
      </w:r>
      <w:r>
        <w:rPr>
          <w:rFonts w:hint="eastAsia" w:ascii="Times New Roman" w:hAnsi="Times New Roman"/>
          <w:bCs/>
          <w:color w:val="000000"/>
          <w:sz w:val="21"/>
          <w:szCs w:val="21"/>
          <w:lang w:val="en-US" w:eastAsia="zh-CN"/>
        </w:rPr>
        <w:t>川</w:t>
      </w:r>
      <w:r>
        <w:rPr>
          <w:rFonts w:ascii="Times New Roman" w:hAnsi="Times New Roman"/>
          <w:bCs/>
          <w:color w:val="000000"/>
          <w:sz w:val="21"/>
          <w:szCs w:val="21"/>
        </w:rPr>
        <w:t>白芷的术语和定义、集采要求。</w:t>
      </w:r>
    </w:p>
    <w:p w14:paraId="093DB8C5">
      <w:pPr>
        <w:pStyle w:val="6"/>
        <w:snapToGrid/>
        <w:ind w:firstLine="420" w:firstLineChars="200"/>
        <w:jc w:val="both"/>
        <w:rPr>
          <w:rFonts w:ascii="Times New Roman" w:hAnsi="Times New Roman"/>
          <w:bCs/>
          <w:color w:val="000000"/>
          <w:sz w:val="21"/>
          <w:szCs w:val="21"/>
        </w:rPr>
      </w:pPr>
      <w:r>
        <w:rPr>
          <w:rFonts w:ascii="Times New Roman" w:hAnsi="Times New Roman"/>
          <w:bCs/>
          <w:color w:val="000000"/>
          <w:sz w:val="21"/>
          <w:szCs w:val="21"/>
        </w:rPr>
        <w:t>本标准适用于指导</w:t>
      </w:r>
      <w:r>
        <w:rPr>
          <w:rFonts w:hint="eastAsia" w:ascii="Times New Roman" w:hAnsi="Times New Roman"/>
          <w:bCs/>
          <w:color w:val="000000"/>
          <w:sz w:val="21"/>
          <w:szCs w:val="21"/>
          <w:lang w:val="en-US" w:eastAsia="zh-CN"/>
        </w:rPr>
        <w:t>道地</w:t>
      </w:r>
      <w:r>
        <w:rPr>
          <w:rFonts w:ascii="Times New Roman" w:hAnsi="Times New Roman"/>
          <w:bCs/>
          <w:color w:val="000000"/>
          <w:sz w:val="21"/>
          <w:szCs w:val="21"/>
        </w:rPr>
        <w:t>药材</w:t>
      </w:r>
      <w:r>
        <w:rPr>
          <w:rFonts w:hint="eastAsia" w:ascii="Times New Roman" w:hAnsi="Times New Roman"/>
          <w:bCs/>
          <w:color w:val="000000"/>
          <w:sz w:val="21"/>
          <w:szCs w:val="21"/>
          <w:lang w:val="en-US" w:eastAsia="zh-CN"/>
        </w:rPr>
        <w:t>川</w:t>
      </w:r>
      <w:r>
        <w:rPr>
          <w:rFonts w:ascii="Times New Roman" w:hAnsi="Times New Roman"/>
          <w:bCs/>
          <w:color w:val="000000"/>
          <w:sz w:val="21"/>
          <w:szCs w:val="21"/>
        </w:rPr>
        <w:t>白芷的集采交易。</w:t>
      </w:r>
    </w:p>
    <w:p w14:paraId="3CEBEC17">
      <w:pPr>
        <w:pStyle w:val="6"/>
        <w:snapToGrid/>
        <w:spacing w:before="312" w:beforeLines="100" w:after="312" w:afterLines="10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2 规范性引用文件</w:t>
      </w:r>
    </w:p>
    <w:p w14:paraId="02923224">
      <w:pPr>
        <w:pStyle w:val="2"/>
      </w:pPr>
      <w: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7A13BDD3">
      <w:pPr>
        <w:pStyle w:val="6"/>
        <w:snapToGrid/>
        <w:ind w:firstLine="420" w:firstLineChars="200"/>
        <w:jc w:val="both"/>
        <w:rPr>
          <w:rFonts w:ascii="宋体" w:hAnsi="宋体"/>
          <w:bCs/>
          <w:color w:val="000000"/>
          <w:sz w:val="21"/>
          <w:szCs w:val="21"/>
        </w:rPr>
      </w:pPr>
      <w:r>
        <w:rPr>
          <w:rFonts w:ascii="宋体" w:hAnsi="宋体"/>
          <w:bCs/>
          <w:color w:val="000000"/>
          <w:sz w:val="21"/>
          <w:szCs w:val="21"/>
        </w:rPr>
        <w:t>T</w:t>
      </w:r>
      <w:r>
        <w:rPr>
          <w:rFonts w:hint="eastAsia" w:ascii="宋体" w:hAnsi="宋体"/>
          <w:bCs/>
          <w:color w:val="000000"/>
          <w:sz w:val="21"/>
          <w:szCs w:val="21"/>
          <w:lang w:val="en-US" w:eastAsia="zh-CN"/>
        </w:rPr>
        <w:t>/</w:t>
      </w:r>
      <w:r>
        <w:rPr>
          <w:rFonts w:ascii="宋体" w:hAnsi="宋体"/>
          <w:bCs/>
          <w:color w:val="000000"/>
          <w:sz w:val="21"/>
          <w:szCs w:val="21"/>
        </w:rPr>
        <w:t>ZGXCFZXH 0001.1-2024 《</w:t>
      </w:r>
      <w:r>
        <w:rPr>
          <w:rFonts w:hint="eastAsia" w:ascii="宋体" w:hAnsi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ascii="宋体" w:hAnsi="宋体"/>
          <w:bCs/>
          <w:color w:val="000000"/>
          <w:sz w:val="21"/>
          <w:szCs w:val="21"/>
        </w:rPr>
        <w:t>药材集采交易标准编制通则》</w:t>
      </w:r>
    </w:p>
    <w:p w14:paraId="62CC8B08">
      <w:pPr>
        <w:pStyle w:val="6"/>
        <w:snapToGrid/>
        <w:ind w:firstLine="420" w:firstLineChars="200"/>
        <w:jc w:val="both"/>
        <w:rPr>
          <w:rFonts w:ascii="宋体" w:hAnsi="宋体"/>
          <w:bCs/>
          <w:color w:val="000000"/>
          <w:sz w:val="21"/>
          <w:szCs w:val="21"/>
        </w:rPr>
      </w:pPr>
      <w:r>
        <w:rPr>
          <w:rFonts w:ascii="宋体" w:hAnsi="宋体"/>
          <w:bCs/>
          <w:color w:val="000000"/>
          <w:sz w:val="21"/>
          <w:szCs w:val="21"/>
        </w:rPr>
        <w:t>T/CACM 1021.1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/>
          <w:bCs/>
          <w:color w:val="000000"/>
          <w:sz w:val="21"/>
          <w:szCs w:val="21"/>
        </w:rPr>
        <w:t>2016 《</w:t>
      </w:r>
      <w:r>
        <w:rPr>
          <w:rFonts w:hint="eastAsia" w:ascii="宋体" w:hAnsi="宋体"/>
          <w:bCs/>
          <w:color w:val="000000"/>
          <w:sz w:val="21"/>
          <w:szCs w:val="21"/>
          <w:lang w:eastAsia="zh-CN"/>
        </w:rPr>
        <w:t>中药材商品规格等级标准编制通则</w:t>
      </w:r>
      <w:r>
        <w:rPr>
          <w:rFonts w:ascii="宋体" w:hAnsi="宋体"/>
          <w:bCs/>
          <w:color w:val="000000"/>
          <w:sz w:val="21"/>
          <w:szCs w:val="21"/>
        </w:rPr>
        <w:t>》</w:t>
      </w:r>
    </w:p>
    <w:p w14:paraId="2E97AFD6">
      <w:pPr>
        <w:pStyle w:val="6"/>
        <w:snapToGrid/>
        <w:ind w:firstLine="420" w:firstLineChars="200"/>
        <w:jc w:val="both"/>
        <w:rPr>
          <w:rFonts w:ascii="宋体" w:hAnsi="宋体"/>
          <w:bCs/>
          <w:color w:val="000000"/>
          <w:sz w:val="21"/>
          <w:szCs w:val="21"/>
        </w:rPr>
      </w:pPr>
      <w:r>
        <w:rPr>
          <w:rFonts w:ascii="宋体" w:hAnsi="宋体"/>
          <w:bCs/>
          <w:color w:val="000000"/>
          <w:sz w:val="21"/>
          <w:szCs w:val="21"/>
        </w:rPr>
        <w:t>T/CACM 1021.19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/>
          <w:bCs/>
          <w:color w:val="000000"/>
          <w:sz w:val="21"/>
          <w:szCs w:val="21"/>
        </w:rPr>
        <w:t>2018</w:t>
      </w:r>
      <w:r>
        <w:rPr>
          <w:rFonts w:hint="eastAsia" w:ascii="宋体" w:hAnsi="宋体"/>
          <w:bCs/>
          <w:color w:val="000000"/>
          <w:sz w:val="21"/>
          <w:szCs w:val="21"/>
        </w:rPr>
        <w:t xml:space="preserve"> </w:t>
      </w:r>
      <w:r>
        <w:rPr>
          <w:rFonts w:ascii="宋体" w:hAnsi="宋体"/>
          <w:bCs/>
          <w:color w:val="000000"/>
          <w:sz w:val="21"/>
          <w:szCs w:val="21"/>
        </w:rPr>
        <w:t>《中药材商品规格等级 白芷》</w:t>
      </w:r>
    </w:p>
    <w:p w14:paraId="746BA26D">
      <w:pPr>
        <w:pStyle w:val="6"/>
        <w:snapToGrid/>
        <w:ind w:firstLine="420" w:firstLineChars="200"/>
        <w:jc w:val="both"/>
        <w:rPr>
          <w:rFonts w:ascii="宋体" w:hAnsi="宋体"/>
          <w:bCs/>
          <w:color w:val="000000"/>
          <w:sz w:val="21"/>
          <w:szCs w:val="21"/>
        </w:rPr>
      </w:pPr>
      <w:r>
        <w:rPr>
          <w:rFonts w:ascii="宋体" w:hAnsi="宋体"/>
          <w:bCs/>
          <w:color w:val="000000"/>
          <w:sz w:val="21"/>
          <w:szCs w:val="21"/>
        </w:rPr>
        <w:t>T/CACM 1020.</w:t>
      </w:r>
      <w:r>
        <w:rPr>
          <w:rFonts w:hint="eastAsia" w:ascii="宋体" w:hAnsi="宋体"/>
          <w:bCs/>
          <w:color w:val="000000"/>
          <w:sz w:val="21"/>
          <w:szCs w:val="21"/>
          <w:lang w:val="en-US" w:eastAsia="zh-CN"/>
        </w:rPr>
        <w:t>33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-</w:t>
      </w:r>
      <w:r>
        <w:rPr>
          <w:rFonts w:ascii="宋体" w:hAnsi="宋体"/>
          <w:bCs/>
          <w:color w:val="000000"/>
          <w:sz w:val="21"/>
          <w:szCs w:val="21"/>
        </w:rPr>
        <w:t>2019</w:t>
      </w:r>
      <w:r>
        <w:rPr>
          <w:rFonts w:hint="eastAsia" w:ascii="宋体" w:hAnsi="宋体"/>
          <w:bCs/>
          <w:color w:val="000000"/>
          <w:sz w:val="21"/>
          <w:szCs w:val="21"/>
        </w:rPr>
        <w:t xml:space="preserve"> </w:t>
      </w:r>
      <w:r>
        <w:rPr>
          <w:rFonts w:ascii="宋体" w:hAnsi="宋体"/>
          <w:bCs/>
          <w:color w:val="000000"/>
          <w:sz w:val="21"/>
          <w:szCs w:val="21"/>
        </w:rPr>
        <w:t>《道地药材 川白芷》</w:t>
      </w:r>
    </w:p>
    <w:p w14:paraId="46103206">
      <w:pPr>
        <w:pStyle w:val="6"/>
        <w:snapToGrid/>
        <w:spacing w:before="312" w:beforeLines="100" w:after="312" w:afterLines="10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3 术语和定义</w:t>
      </w:r>
    </w:p>
    <w:p w14:paraId="7028CD6A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3.1</w:t>
      </w:r>
    </w:p>
    <w:p w14:paraId="7ABF4BF8">
      <w:pPr>
        <w:pStyle w:val="6"/>
        <w:snapToGrid/>
        <w:spacing w:before="156" w:beforeLines="50" w:after="156" w:afterLines="50"/>
        <w:ind w:firstLine="420" w:firstLineChars="200"/>
        <w:jc w:val="both"/>
        <w:rPr>
          <w:rFonts w:hint="eastAsia" w:ascii="黑体" w:hAnsi="黑体" w:eastAsia="黑体" w:cs="黑体"/>
          <w:bCs/>
          <w:sz w:val="21"/>
          <w:szCs w:val="21"/>
          <w:lang w:eastAsia="zh-CN"/>
        </w:rPr>
      </w:pPr>
      <w:r>
        <w:rPr>
          <w:rFonts w:ascii="黑体" w:hAnsi="黑体" w:eastAsia="黑体" w:cs="黑体"/>
          <w:bCs/>
          <w:sz w:val="21"/>
          <w:szCs w:val="21"/>
        </w:rPr>
        <w:t>川白芷</w:t>
      </w:r>
      <w:r>
        <w:rPr>
          <w:rFonts w:hint="eastAsia" w:ascii="黑体" w:hAnsi="黑体" w:eastAsia="黑体" w:cs="黑体"/>
          <w:bCs/>
          <w:sz w:val="21"/>
          <w:szCs w:val="21"/>
        </w:rPr>
        <w:t xml:space="preserve"> chuan </w:t>
      </w:r>
      <w:r>
        <w:rPr>
          <w:rFonts w:hint="eastAsia" w:ascii="黑体" w:hAnsi="黑体" w:eastAsia="黑体" w:cs="黑体"/>
          <w:bCs/>
          <w:sz w:val="21"/>
          <w:szCs w:val="21"/>
          <w:lang w:val="en-US" w:eastAsia="zh-CN"/>
        </w:rPr>
        <w:t>bai zhi</w:t>
      </w:r>
    </w:p>
    <w:p w14:paraId="7A0AF75C">
      <w:pPr>
        <w:ind w:firstLine="315" w:firstLineChars="150"/>
        <w:rPr>
          <w:rFonts w:ascii="Times New Roman" w:hAnsi="Times New Roman" w:eastAsia="黑体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产于四川遂宁、安岳、泸州、简阳、达州、南充</w:t>
      </w:r>
      <w:r>
        <w:rPr>
          <w:rFonts w:hint="eastAsia" w:ascii="Times New Roman" w:hAnsi="Times New Roman"/>
          <w:bCs/>
          <w:color w:val="000000"/>
          <w:szCs w:val="21"/>
        </w:rPr>
        <w:t>，</w:t>
      </w:r>
      <w:r>
        <w:rPr>
          <w:rFonts w:ascii="Times New Roman" w:hAnsi="Times New Roman"/>
          <w:bCs/>
          <w:color w:val="000000"/>
          <w:szCs w:val="21"/>
        </w:rPr>
        <w:t>重庆南川及周边丘陵平原地区的栽培品。</w:t>
      </w:r>
    </w:p>
    <w:p w14:paraId="55265409">
      <w:pPr>
        <w:pStyle w:val="6"/>
        <w:snapToGrid/>
        <w:spacing w:before="312" w:beforeLines="100" w:after="312" w:afterLines="10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 集采要求</w:t>
      </w:r>
    </w:p>
    <w:p w14:paraId="221DAFFD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4.1来源</w:t>
      </w:r>
    </w:p>
    <w:p w14:paraId="067990DE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 xml:space="preserve">4.1.1 </w:t>
      </w:r>
      <w:r>
        <w:rPr>
          <w:rFonts w:hint="eastAsia" w:ascii="黑体" w:hAnsi="黑体" w:eastAsia="黑体" w:cs="黑体"/>
          <w:bCs/>
          <w:sz w:val="21"/>
          <w:szCs w:val="21"/>
        </w:rPr>
        <w:t>基原</w:t>
      </w:r>
    </w:p>
    <w:p w14:paraId="27BCEB56">
      <w:pPr>
        <w:pStyle w:val="2"/>
        <w:rPr>
          <w:rFonts w:ascii="Times New Roman" w:hAnsi="Times New Roman"/>
          <w:bCs/>
          <w:szCs w:val="21"/>
        </w:rPr>
      </w:pPr>
      <w:r>
        <w:rPr>
          <w:rFonts w:hint="eastAsia" w:cs="宋体"/>
          <w:szCs w:val="21"/>
        </w:rPr>
        <w:t>伞形科植物白芷：</w:t>
      </w:r>
      <w:r>
        <w:rPr>
          <w:rFonts w:hint="eastAsia" w:cs="宋体"/>
          <w:i/>
          <w:iCs/>
          <w:szCs w:val="21"/>
        </w:rPr>
        <w:t>Angelica dahurica</w:t>
      </w:r>
      <w:r>
        <w:rPr>
          <w:rFonts w:hint="eastAsia" w:cs="宋体"/>
          <w:szCs w:val="21"/>
        </w:rPr>
        <w:t>（Fisch.ex Hoffm.）Benth.et Hook.f.。</w:t>
      </w:r>
    </w:p>
    <w:p w14:paraId="63032C38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4.1.2 药用部位</w:t>
      </w:r>
    </w:p>
    <w:p w14:paraId="20CED4FC">
      <w:pPr>
        <w:pStyle w:val="2"/>
      </w:pPr>
      <w:r>
        <w:t>干燥根。</w:t>
      </w:r>
    </w:p>
    <w:p w14:paraId="2182F372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4.1.3 产地</w:t>
      </w:r>
    </w:p>
    <w:p w14:paraId="6EEA225A">
      <w:pPr>
        <w:pStyle w:val="2"/>
      </w:pPr>
      <w:r>
        <w:t>主产于</w:t>
      </w:r>
      <w:r>
        <w:rPr>
          <w:rFonts w:hint="eastAsia"/>
        </w:rPr>
        <w:t>遂宁、安岳、泸州、简阳、达州、重庆南川等周边地区的白芷。</w:t>
      </w:r>
    </w:p>
    <w:p w14:paraId="2AE5DE69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4.1.4 采收期</w:t>
      </w:r>
    </w:p>
    <w:p w14:paraId="695DDCAD">
      <w:pPr>
        <w:pStyle w:val="2"/>
      </w:pPr>
      <w:r>
        <w:t>夏、秋间叶黄时采挖。</w:t>
      </w:r>
    </w:p>
    <w:p w14:paraId="4CEFDB4D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4.1.5 产地加工</w:t>
      </w:r>
    </w:p>
    <w:p w14:paraId="235B21BB">
      <w:pPr>
        <w:pStyle w:val="2"/>
      </w:pPr>
      <w:r>
        <w:t>采收后，除去须根和泥沙，晒干或低温干燥。</w:t>
      </w:r>
    </w:p>
    <w:p w14:paraId="468FED0C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 性状</w:t>
      </w:r>
    </w:p>
    <w:p w14:paraId="063B58BA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4.2.1 形状</w:t>
      </w:r>
    </w:p>
    <w:p w14:paraId="2B652EC4">
      <w:pPr>
        <w:pStyle w:val="2"/>
      </w:pPr>
      <w:r>
        <w:t>呈长圆锥形。</w:t>
      </w:r>
    </w:p>
    <w:p w14:paraId="09449AC9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4.2.2 大小</w:t>
      </w:r>
    </w:p>
    <w:p w14:paraId="06DF90EA">
      <w:pPr>
        <w:pStyle w:val="2"/>
        <w:rPr>
          <w:rFonts w:ascii="Times New Roman" w:hAnsi="Times New Roman"/>
          <w:bCs/>
          <w:color w:val="000000"/>
          <w:szCs w:val="21"/>
        </w:rPr>
      </w:pPr>
      <w:r>
        <w:rPr>
          <w:rFonts w:hint="eastAsia"/>
        </w:rPr>
        <w:t>选货和精品药材长10～25cm，直径1.5～2.5cm，每千克60</w:t>
      </w:r>
      <w:r>
        <w:rPr>
          <w:rFonts w:hint="eastAsia"/>
          <w:lang w:eastAsia="zh-CN"/>
        </w:rPr>
        <w:t>支</w:t>
      </w:r>
      <w:r>
        <w:rPr>
          <w:rFonts w:hint="eastAsia"/>
        </w:rPr>
        <w:t>以内，</w:t>
      </w:r>
      <w:r>
        <w:rPr>
          <w:rFonts w:hint="eastAsia" w:cs="宋体"/>
          <w:bCs/>
          <w:color w:val="000000"/>
          <w:szCs w:val="21"/>
        </w:rPr>
        <w:t>统货不分长短大小。</w:t>
      </w:r>
    </w:p>
    <w:p w14:paraId="5F04FF8B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4.2.3 表面</w:t>
      </w:r>
    </w:p>
    <w:p w14:paraId="7C82BCCE">
      <w:pPr>
        <w:pStyle w:val="2"/>
      </w:pPr>
      <w:r>
        <w:t>表面灰棕色或黄棕色。</w:t>
      </w:r>
    </w:p>
    <w:p w14:paraId="3AEDADFF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4.2.4 断面</w:t>
      </w:r>
    </w:p>
    <w:p w14:paraId="0A92BF80">
      <w:pPr>
        <w:pStyle w:val="2"/>
      </w:pPr>
      <w:r>
        <w:t>白色或灰白色，粉性，形成层环棕色，近方形或近圆形，皮部散有多数棕色油点。</w:t>
      </w:r>
    </w:p>
    <w:p w14:paraId="1F8C0DFC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4.2.5 质地</w:t>
      </w:r>
    </w:p>
    <w:p w14:paraId="79E28332">
      <w:pPr>
        <w:pStyle w:val="2"/>
      </w:pPr>
      <w:r>
        <w:t>质坚实。</w:t>
      </w:r>
    </w:p>
    <w:p w14:paraId="3471CC48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4.2.6 气味</w:t>
      </w:r>
    </w:p>
    <w:p w14:paraId="18CCD9CD">
      <w:pPr>
        <w:pStyle w:val="2"/>
      </w:pPr>
      <w:r>
        <w:t>气芳香，味辛、微苦。</w:t>
      </w:r>
    </w:p>
    <w:p w14:paraId="373AF689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4.3 鉴别</w:t>
      </w:r>
    </w:p>
    <w:p w14:paraId="4F72C4BB">
      <w:pPr>
        <w:pStyle w:val="6"/>
        <w:tabs>
          <w:tab w:val="left" w:pos="1500"/>
          <w:tab w:val="clear" w:pos="4153"/>
        </w:tabs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4.3.1</w:t>
      </w:r>
      <w:r>
        <w:rPr>
          <w:rFonts w:hint="eastAsia" w:ascii="黑体" w:hAnsi="黑体" w:eastAsia="黑体" w:cs="黑体"/>
          <w:bCs/>
          <w:sz w:val="21"/>
          <w:szCs w:val="21"/>
        </w:rPr>
        <w:t xml:space="preserve"> 显微鉴别</w:t>
      </w:r>
    </w:p>
    <w:p w14:paraId="65854D4A">
      <w:pPr>
        <w:pStyle w:val="2"/>
      </w:pPr>
      <w:r>
        <w:rPr>
          <w:rFonts w:hint="eastAsia"/>
        </w:rPr>
        <w:t>本品粉末黄白色。淀粉粒甚多，单粒圆球形、多角形、椭圆形或盔帽形，直径3～25μm，脐点点状、裂缝状、十字状、三叉状、星状或人字状；复粒多由2～12分粒组成。网纹导管、螺纹导管直径10～85μm。木栓细胞多角形或类长方形，淡黄棕色。油管多已破碎，含淡黄棕色分泌物。</w:t>
      </w:r>
    </w:p>
    <w:p w14:paraId="623B7069">
      <w:pPr>
        <w:pStyle w:val="6"/>
        <w:tabs>
          <w:tab w:val="left" w:pos="1112"/>
          <w:tab w:val="clear" w:pos="4153"/>
        </w:tabs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4.3.2</w:t>
      </w:r>
      <w:r>
        <w:rPr>
          <w:rFonts w:hint="eastAsia" w:ascii="黑体" w:hAnsi="黑体" w:eastAsia="黑体" w:cs="黑体"/>
          <w:bCs/>
          <w:sz w:val="21"/>
          <w:szCs w:val="21"/>
        </w:rPr>
        <w:t xml:space="preserve"> 薄层鉴别</w:t>
      </w:r>
    </w:p>
    <w:p w14:paraId="0A1EF7F9">
      <w:pPr>
        <w:pStyle w:val="2"/>
      </w:pPr>
      <w:r>
        <w:rPr>
          <w:rFonts w:hint="eastAsia"/>
        </w:rPr>
        <w:t>取本品粉末0.5g，加乙醚10ml，浸泡1小时，时时振摇，滤过，滤液挥干，残渣加乙酸乙酯1ml使溶解，作为供试品溶液。另取白芷对照药材0.5g，同法制成对照药材溶液。再取欧前胡素对照品、异欧前胡素对照品，加乙酸乙酯制成每1ml各含1mg的混合溶液，作为对照品溶液。照薄层色谱法（《中华人民共和国药典》2020年版通则0502）试验，吸取上述三种溶液各4μl，分别点于同一硅胶G薄层板上，以石油醚（30～60℃）-乙醚（3:2）为展开剂，在25℃以下展开，取出，晾干，置紫外光灯（365nm）下检视。供试品色谱中，在与对照药材色谱和对照品色谱相应的位置上，显相同颜色的荧光斑点。</w:t>
      </w:r>
    </w:p>
    <w:p w14:paraId="0BC8D068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4.4</w:t>
      </w:r>
      <w:r>
        <w:rPr>
          <w:rFonts w:hint="eastAsia" w:ascii="黑体" w:hAnsi="黑体" w:eastAsia="黑体" w:cs="黑体"/>
          <w:bCs/>
          <w:sz w:val="21"/>
          <w:szCs w:val="21"/>
        </w:rPr>
        <w:t xml:space="preserve"> </w:t>
      </w:r>
      <w:r>
        <w:rPr>
          <w:rFonts w:ascii="黑体" w:hAnsi="黑体" w:eastAsia="黑体" w:cs="黑体"/>
          <w:bCs/>
          <w:sz w:val="21"/>
          <w:szCs w:val="21"/>
        </w:rPr>
        <w:t>检查</w:t>
      </w:r>
    </w:p>
    <w:p w14:paraId="6FD8BB70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4.4.1 水分</w:t>
      </w:r>
    </w:p>
    <w:p w14:paraId="6984724C">
      <w:pPr>
        <w:pStyle w:val="2"/>
      </w:pPr>
      <w:r>
        <w:rPr>
          <w:rFonts w:hint="eastAsia"/>
        </w:rPr>
        <w:t>不得过14.0%（《中华人民共和国药典》</w:t>
      </w:r>
      <w:r>
        <w:rPr>
          <w:rFonts w:hint="eastAsia"/>
          <w:lang w:val="en-US" w:eastAsia="zh-CN"/>
        </w:rPr>
        <w:t>2020年版</w:t>
      </w:r>
      <w:r>
        <w:rPr>
          <w:rFonts w:hint="eastAsia"/>
        </w:rPr>
        <w:t>通则0832第四法）。</w:t>
      </w:r>
    </w:p>
    <w:p w14:paraId="7CF5CA8D">
      <w:pPr>
        <w:pStyle w:val="6"/>
        <w:snapToGrid/>
        <w:spacing w:before="156" w:beforeLines="50" w:after="156" w:afterLines="50"/>
        <w:jc w:val="both"/>
        <w:rPr>
          <w:rFonts w:ascii="Times New Roman" w:hAnsi="Times New Roman" w:eastAsia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4.4.2 总灰分</w:t>
      </w:r>
      <w:r>
        <w:rPr>
          <w:rFonts w:ascii="Times New Roman" w:hAnsi="Times New Roman" w:eastAsia="黑体"/>
          <w:bCs/>
          <w:sz w:val="21"/>
          <w:szCs w:val="21"/>
        </w:rPr>
        <w:tab/>
      </w:r>
    </w:p>
    <w:p w14:paraId="53FA4094">
      <w:pPr>
        <w:pStyle w:val="2"/>
      </w:pPr>
      <w:r>
        <w:rPr>
          <w:rFonts w:hint="eastAsia"/>
        </w:rPr>
        <w:t>不得过6.0%（《中华人民共和国药典》</w:t>
      </w:r>
      <w:r>
        <w:rPr>
          <w:rFonts w:hint="eastAsia"/>
          <w:lang w:val="en-US" w:eastAsia="zh-CN"/>
        </w:rPr>
        <w:t>2020年版</w:t>
      </w:r>
      <w:r>
        <w:rPr>
          <w:rFonts w:hint="eastAsia"/>
        </w:rPr>
        <w:t>通则2302）。</w:t>
      </w:r>
    </w:p>
    <w:p w14:paraId="08C0F3E0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4.4.3 浸出物</w:t>
      </w:r>
    </w:p>
    <w:p w14:paraId="31F22CCB">
      <w:pPr>
        <w:pStyle w:val="2"/>
      </w:pPr>
      <w:r>
        <w:rPr>
          <w:rFonts w:hint="eastAsia"/>
        </w:rPr>
        <w:t>醇溶性浸出物照醇溶性浸出物测定法（《中华人民共和国药典》通</w:t>
      </w:r>
      <w:r>
        <w:rPr>
          <w:rFonts w:hint="eastAsia"/>
          <w:lang w:val="en-US" w:eastAsia="zh-CN"/>
        </w:rPr>
        <w:t>2020年版</w:t>
      </w:r>
      <w:r>
        <w:rPr>
          <w:rFonts w:hint="eastAsia"/>
        </w:rPr>
        <w:t>则2201）项下的热浸法，用稀乙醇作溶剂，不得少于15.0%。</w:t>
      </w:r>
    </w:p>
    <w:p w14:paraId="16878216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hint="eastAsia" w:ascii="黑体" w:hAnsi="黑体" w:eastAsia="黑体" w:cs="黑体"/>
          <w:bCs/>
          <w:sz w:val="21"/>
          <w:szCs w:val="21"/>
        </w:rPr>
        <w:t xml:space="preserve">4.4.4 </w:t>
      </w:r>
      <w:r>
        <w:rPr>
          <w:rFonts w:ascii="黑体" w:hAnsi="黑体" w:eastAsia="黑体" w:cs="黑体"/>
          <w:bCs/>
          <w:sz w:val="21"/>
          <w:szCs w:val="21"/>
        </w:rPr>
        <w:t>二氧化硫</w:t>
      </w:r>
      <w:r>
        <w:rPr>
          <w:rFonts w:hint="eastAsia" w:ascii="黑体" w:hAnsi="黑体" w:eastAsia="黑体" w:cs="黑体"/>
          <w:bCs/>
          <w:sz w:val="21"/>
          <w:szCs w:val="21"/>
        </w:rPr>
        <w:t>残留</w:t>
      </w:r>
    </w:p>
    <w:p w14:paraId="0329DAD2">
      <w:pPr>
        <w:pStyle w:val="2"/>
        <w:rPr>
          <w:rFonts w:cs="宋体"/>
          <w:bCs/>
          <w:color w:val="000000"/>
          <w:szCs w:val="21"/>
        </w:rPr>
      </w:pPr>
      <w:r>
        <w:rPr>
          <w:szCs w:val="21"/>
        </w:rPr>
        <w:t>照二氧化硫残留量</w:t>
      </w:r>
      <w:r>
        <w:rPr>
          <w:rFonts w:hint="eastAsia" w:cs="宋体"/>
          <w:szCs w:val="21"/>
        </w:rPr>
        <w:t>测定法</w:t>
      </w:r>
      <w:bookmarkStart w:id="21" w:name="_Hlk165566999"/>
      <w:r>
        <w:rPr>
          <w:rFonts w:hint="eastAsia" w:cs="宋体"/>
          <w:szCs w:val="21"/>
        </w:rPr>
        <w:t>（《中华人民共和国药典》2020年版通则2331）</w:t>
      </w:r>
      <w:bookmarkEnd w:id="21"/>
      <w:r>
        <w:rPr>
          <w:rFonts w:hint="eastAsia" w:cs="宋体"/>
          <w:szCs w:val="21"/>
        </w:rPr>
        <w:t>测定，</w:t>
      </w:r>
      <w:r>
        <w:rPr>
          <w:rFonts w:hint="eastAsia" w:cs="宋体"/>
          <w:bCs/>
          <w:color w:val="000000"/>
          <w:szCs w:val="21"/>
        </w:rPr>
        <w:t>不得过150mg/kg。</w:t>
      </w:r>
    </w:p>
    <w:p w14:paraId="2D4C5701">
      <w:pPr>
        <w:pStyle w:val="6"/>
        <w:snapToGrid/>
        <w:spacing w:before="156" w:beforeLines="50" w:after="156" w:afterLines="50"/>
        <w:jc w:val="both"/>
        <w:outlineLvl w:val="1"/>
        <w:rPr>
          <w:rFonts w:ascii="黑体" w:hAnsi="黑体" w:eastAsia="黑体"/>
          <w:bCs/>
          <w:color w:val="000000"/>
          <w:sz w:val="21"/>
          <w:szCs w:val="21"/>
        </w:rPr>
      </w:pPr>
      <w:bookmarkStart w:id="22" w:name="_Toc22721"/>
      <w:bookmarkStart w:id="23" w:name="_Toc12303"/>
      <w:bookmarkStart w:id="24" w:name="_Toc15704"/>
      <w:r>
        <w:rPr>
          <w:rFonts w:hint="eastAsia" w:ascii="黑体" w:hAnsi="黑体" w:eastAsia="黑体"/>
          <w:bCs/>
          <w:color w:val="000000"/>
          <w:sz w:val="21"/>
          <w:szCs w:val="21"/>
        </w:rPr>
        <w:t>4.4.5 重金属</w:t>
      </w:r>
      <w:bookmarkEnd w:id="22"/>
      <w:bookmarkEnd w:id="23"/>
      <w:bookmarkEnd w:id="24"/>
      <w:r>
        <w:rPr>
          <w:rFonts w:hint="eastAsia" w:ascii="黑体" w:hAnsi="黑体" w:eastAsia="黑体"/>
          <w:bCs/>
          <w:color w:val="000000"/>
          <w:sz w:val="21"/>
          <w:szCs w:val="21"/>
        </w:rPr>
        <w:t>残留</w:t>
      </w:r>
    </w:p>
    <w:p w14:paraId="45878667">
      <w:pPr>
        <w:pStyle w:val="2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照</w:t>
      </w:r>
      <w:r>
        <w:rPr>
          <w:rFonts w:hint="eastAsia" w:cs="宋体"/>
          <w:bCs/>
          <w:color w:val="000000"/>
          <w:kern w:val="0"/>
          <w:szCs w:val="21"/>
        </w:rPr>
        <w:t>《中华人民共和国药典》</w:t>
      </w:r>
      <w:r>
        <w:rPr>
          <w:rFonts w:hint="eastAsia" w:cs="宋体"/>
          <w:bCs/>
          <w:color w:val="000000"/>
          <w:szCs w:val="21"/>
        </w:rPr>
        <w:t>2020版通则2321原子吸收分光光度法或电感耦合等离子体质谱法测定，</w:t>
      </w:r>
      <w:r>
        <w:rPr>
          <w:rFonts w:hint="eastAsia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铅不得过10mg/kg；镉不得过1mg/kg；砷不得过5mg/kg；汞不得过1mg/kg；铜不得过20mg/kg。</w:t>
      </w:r>
    </w:p>
    <w:p w14:paraId="251E32BA">
      <w:pPr>
        <w:pStyle w:val="6"/>
        <w:snapToGrid/>
        <w:spacing w:before="156" w:beforeLines="50" w:after="156" w:afterLines="50"/>
        <w:jc w:val="both"/>
        <w:outlineLvl w:val="1"/>
        <w:rPr>
          <w:rFonts w:ascii="黑体" w:hAnsi="黑体" w:eastAsia="黑体" w:cs="黑体"/>
          <w:bCs/>
          <w:color w:val="000000"/>
          <w:sz w:val="21"/>
          <w:szCs w:val="21"/>
        </w:rPr>
      </w:pPr>
      <w:bookmarkStart w:id="25" w:name="_Toc19185"/>
      <w:bookmarkStart w:id="26" w:name="_Toc10374"/>
      <w:bookmarkStart w:id="27" w:name="_Toc27823"/>
      <w:bookmarkStart w:id="28" w:name="_Toc5414"/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>4.4.6 农药残留</w:t>
      </w:r>
      <w:bookmarkEnd w:id="25"/>
      <w:bookmarkEnd w:id="26"/>
      <w:bookmarkEnd w:id="27"/>
      <w:bookmarkEnd w:id="28"/>
    </w:p>
    <w:p w14:paraId="58FBAD1F">
      <w:pPr>
        <w:pStyle w:val="2"/>
        <w:rPr>
          <w:rFonts w:cs="宋体"/>
          <w:bCs/>
          <w:color w:val="000000"/>
          <w:kern w:val="2"/>
          <w:szCs w:val="21"/>
        </w:rPr>
      </w:pPr>
      <w:r>
        <w:rPr>
          <w:rFonts w:hint="eastAsia" w:ascii="Times New Roman" w:hAnsi="Times New Roman"/>
          <w:bCs/>
          <w:color w:val="000000"/>
          <w:szCs w:val="21"/>
        </w:rPr>
        <w:t>《中华人民共和国药典》通则0212中列出的禁用农药不得检出</w:t>
      </w:r>
      <w:r>
        <w:rPr>
          <w:rFonts w:ascii="Times New Roman" w:hAnsi="Times New Roman"/>
          <w:bCs/>
          <w:color w:val="000000"/>
          <w:szCs w:val="21"/>
        </w:rPr>
        <w:t>。</w:t>
      </w:r>
    </w:p>
    <w:p w14:paraId="2BB330DE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4.5 含量</w:t>
      </w:r>
    </w:p>
    <w:p w14:paraId="218E6F3B">
      <w:pPr>
        <w:pStyle w:val="2"/>
        <w:rPr>
          <w:rFonts w:cs="宋体"/>
          <w:bCs/>
          <w:szCs w:val="21"/>
        </w:rPr>
      </w:pPr>
      <w:r>
        <w:rPr>
          <w:rFonts w:hint="eastAsia" w:cs="宋体"/>
          <w:szCs w:val="21"/>
        </w:rPr>
        <w:t>按白芷干燥品计算，含欧前胡素（C</w:t>
      </w:r>
      <w:r>
        <w:rPr>
          <w:rFonts w:hint="eastAsia" w:cs="宋体"/>
          <w:szCs w:val="21"/>
          <w:vertAlign w:val="subscript"/>
        </w:rPr>
        <w:t>16</w:t>
      </w:r>
      <w:r>
        <w:rPr>
          <w:rFonts w:hint="eastAsia" w:cs="宋体"/>
          <w:szCs w:val="21"/>
        </w:rPr>
        <w:t>H</w:t>
      </w:r>
      <w:r>
        <w:rPr>
          <w:rFonts w:hint="eastAsia" w:cs="宋体"/>
          <w:szCs w:val="21"/>
          <w:vertAlign w:val="subscript"/>
        </w:rPr>
        <w:t>14</w:t>
      </w:r>
      <w:r>
        <w:rPr>
          <w:rFonts w:hint="eastAsia" w:cs="宋体"/>
          <w:szCs w:val="21"/>
        </w:rPr>
        <w:t>O</w:t>
      </w:r>
      <w:r>
        <w:rPr>
          <w:rFonts w:hint="eastAsia" w:cs="宋体"/>
          <w:szCs w:val="21"/>
          <w:vertAlign w:val="subscript"/>
        </w:rPr>
        <w:t>4</w:t>
      </w:r>
      <w:r>
        <w:rPr>
          <w:rFonts w:hint="eastAsia" w:cs="宋体"/>
          <w:szCs w:val="21"/>
        </w:rPr>
        <w:t>）不得少于0.080%（《中华人民共和国药典》2020版高效液相色谱法通则0512）。</w:t>
      </w:r>
    </w:p>
    <w:p w14:paraId="4C1A0785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4.6 质量控制</w:t>
      </w:r>
    </w:p>
    <w:p w14:paraId="1031CEE1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4.6.1 可追溯</w:t>
      </w:r>
    </w:p>
    <w:p w14:paraId="7D59B646">
      <w:pPr>
        <w:pStyle w:val="2"/>
      </w:pPr>
      <w:r>
        <w:t>集采交易药材白芷应实现中药材生产全过程可追溯，并通过第三方溯源评价。</w:t>
      </w:r>
    </w:p>
    <w:p w14:paraId="2EBBE815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 xml:space="preserve">4.6.2 </w:t>
      </w:r>
      <w:r>
        <w:rPr>
          <w:rFonts w:hint="eastAsia" w:ascii="黑体" w:hAnsi="黑体" w:eastAsia="黑体" w:cs="黑体"/>
          <w:bCs/>
          <w:sz w:val="21"/>
          <w:szCs w:val="21"/>
        </w:rPr>
        <w:t>药材生产管理规范</w:t>
      </w:r>
    </w:p>
    <w:p w14:paraId="476BBA2D">
      <w:pPr>
        <w:pStyle w:val="6"/>
        <w:snapToGrid/>
        <w:ind w:firstLine="420" w:firstLineChars="200"/>
        <w:jc w:val="both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精品药材白芷应符合中药材GAP管理要求，并通过GAP备案或延伸检查。</w:t>
      </w:r>
    </w:p>
    <w:p w14:paraId="56F9BD03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>4.6.3 道地药材</w:t>
      </w:r>
    </w:p>
    <w:p w14:paraId="23D4CF0C">
      <w:pPr>
        <w:pStyle w:val="6"/>
        <w:snapToGrid/>
        <w:ind w:firstLine="420" w:firstLineChars="200"/>
        <w:jc w:val="both"/>
        <w:rPr>
          <w:rFonts w:ascii="Times New Roman" w:hAnsi="Times New Roman"/>
          <w:bCs/>
          <w:color w:val="000000"/>
          <w:sz w:val="21"/>
          <w:szCs w:val="21"/>
        </w:rPr>
      </w:pPr>
      <w:r>
        <w:rPr>
          <w:rFonts w:ascii="Times New Roman" w:hAnsi="Times New Roman"/>
          <w:bCs/>
          <w:color w:val="000000"/>
          <w:sz w:val="21"/>
          <w:szCs w:val="21"/>
        </w:rPr>
        <w:t>精品药材白芷应符合道地药材要求，并通过第三方道地药材认证。</w:t>
      </w:r>
    </w:p>
    <w:p w14:paraId="524546D1">
      <w:pPr>
        <w:pStyle w:val="6"/>
        <w:snapToGrid/>
        <w:spacing w:before="156" w:beforeLines="50" w:after="156" w:afterLines="50"/>
        <w:jc w:val="both"/>
        <w:rPr>
          <w:rFonts w:ascii="黑体" w:hAnsi="黑体" w:eastAsia="黑体" w:cs="黑体"/>
          <w:bCs/>
          <w:sz w:val="21"/>
          <w:szCs w:val="21"/>
        </w:rPr>
      </w:pPr>
      <w:r>
        <w:rPr>
          <w:rFonts w:ascii="黑体" w:hAnsi="黑体" w:eastAsia="黑体" w:cs="黑体"/>
          <w:bCs/>
          <w:sz w:val="21"/>
          <w:szCs w:val="21"/>
        </w:rPr>
        <w:t xml:space="preserve">4.7 </w:t>
      </w:r>
      <w:r>
        <w:rPr>
          <w:rFonts w:hint="eastAsia" w:ascii="黑体" w:hAnsi="黑体" w:eastAsia="黑体" w:cs="黑体"/>
          <w:bCs/>
          <w:sz w:val="21"/>
          <w:szCs w:val="21"/>
        </w:rPr>
        <w:t>等级及集采要求</w:t>
      </w:r>
    </w:p>
    <w:p w14:paraId="64B598E4">
      <w:pPr>
        <w:pStyle w:val="6"/>
        <w:snapToGrid/>
        <w:ind w:firstLine="420" w:firstLineChars="200"/>
        <w:jc w:val="both"/>
        <w:rPr>
          <w:rFonts w:ascii="Times New Roman" w:hAnsi="Times New Roman"/>
          <w:bCs/>
          <w:color w:val="000000"/>
          <w:sz w:val="21"/>
          <w:szCs w:val="21"/>
        </w:rPr>
      </w:pPr>
      <w:r>
        <w:rPr>
          <w:rFonts w:ascii="Times New Roman" w:hAnsi="Times New Roman"/>
          <w:bCs/>
          <w:color w:val="000000"/>
          <w:sz w:val="21"/>
          <w:szCs w:val="21"/>
        </w:rPr>
        <w:t>集采药材白芷统货、选货、精品药材</w:t>
      </w:r>
      <w:r>
        <w:rPr>
          <w:rFonts w:hint="eastAsia" w:ascii="Times New Roman" w:hAnsi="Times New Roman"/>
          <w:bCs/>
          <w:color w:val="000000"/>
          <w:sz w:val="21"/>
          <w:szCs w:val="21"/>
        </w:rPr>
        <w:t>具体要求见表1。</w:t>
      </w:r>
    </w:p>
    <w:tbl>
      <w:tblPr>
        <w:tblStyle w:val="12"/>
        <w:tblW w:w="9825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596"/>
        <w:gridCol w:w="2520"/>
        <w:gridCol w:w="2470"/>
        <w:gridCol w:w="2183"/>
      </w:tblGrid>
      <w:tr w14:paraId="0E6FBF60">
        <w:trPr>
          <w:trHeight w:val="866" w:hRule="atLeast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4A6BF6">
            <w:pPr>
              <w:widowControl/>
              <w:spacing w:before="156" w:beforeLines="50" w:after="156" w:afterLines="50"/>
              <w:jc w:val="center"/>
              <w:textAlignment w:val="center"/>
              <w:rPr>
                <w:rFonts w:ascii="Times New Roman" w:hAnsi="Times New Roman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表1 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药材集采交易标准 白芷</w:t>
            </w:r>
          </w:p>
        </w:tc>
      </w:tr>
      <w:tr w14:paraId="6A9849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65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0A59F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4FFC6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</w:t>
            </w:r>
          </w:p>
          <w:p w14:paraId="73999A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73711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1B5312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25766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7F822E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8B649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A5880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7C66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白芷：伞形科植物白芷</w:t>
            </w:r>
            <w:r>
              <w:rPr>
                <w:rFonts w:ascii="宋体" w:hAnsi="宋体"/>
                <w:i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Angelica dahurica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（Fisch.ex Hoffm.）Benth.et Hook.f.</w:t>
            </w:r>
          </w:p>
          <w:p w14:paraId="4F004F2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杭白芷：伞形科植物杭白芷</w:t>
            </w:r>
            <w:r>
              <w:rPr>
                <w:rFonts w:ascii="宋体" w:hAnsi="宋体"/>
                <w:i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Angelica dahurica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（Fisch. ex Hoffm.）Benth.et Hook.f.var.</w:t>
            </w:r>
            <w:r>
              <w:rPr>
                <w:rFonts w:ascii="宋体" w:hAnsi="宋体"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formosana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（Boiss.）Shan et Yuan</w:t>
            </w:r>
          </w:p>
        </w:tc>
      </w:tr>
      <w:tr w14:paraId="7CE00B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60DF1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89BBBD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3BF2A5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干燥根</w:t>
            </w:r>
          </w:p>
        </w:tc>
      </w:tr>
      <w:tr w14:paraId="7ACCA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585A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932EA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C16D4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夏、秋间叶黄时采挖</w:t>
            </w:r>
          </w:p>
        </w:tc>
      </w:tr>
      <w:tr w14:paraId="442A92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4C994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D3031D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81E67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除去须根和泥沙，晒干或低温干燥</w:t>
            </w:r>
          </w:p>
        </w:tc>
      </w:tr>
      <w:tr w14:paraId="7C23A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D2AC4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6A3ED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86FE2">
            <w:pPr>
              <w:jc w:val="center"/>
              <w:rPr>
                <w:rFonts w:hint="eastAsia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产于遂宁、安岳、泸州、简阳、达州、重庆南川等周边地区的白芷</w:t>
            </w:r>
          </w:p>
        </w:tc>
      </w:tr>
      <w:tr w14:paraId="6F79A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8089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398E53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采收年限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3DE0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 w14:paraId="6259F3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28CFE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12EED5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7142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长圆锥形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0DD7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长圆锥形或略成圆柱形，根头圆形或类方形</w:t>
            </w:r>
          </w:p>
        </w:tc>
      </w:tr>
      <w:tr w14:paraId="08CDD0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C80FD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3700E2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FCDE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气芳香，味辛、微苦</w:t>
            </w:r>
          </w:p>
        </w:tc>
      </w:tr>
      <w:tr w14:paraId="65FCF1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63C06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DEEA9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55B3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断面白色或灰白色，粉性，形成层环棕色，近方形或近圆形，皮部散有多数棕色油点</w:t>
            </w:r>
          </w:p>
        </w:tc>
      </w:tr>
      <w:tr w14:paraId="32E9F0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BCC2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4B209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F282E6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质坚实</w:t>
            </w:r>
          </w:p>
        </w:tc>
      </w:tr>
      <w:tr w14:paraId="4B4921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B792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77146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42F7B2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表面灰棕色或黄棕色</w:t>
            </w:r>
          </w:p>
        </w:tc>
      </w:tr>
      <w:tr w14:paraId="44F9B4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1C4D7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19E7E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重量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vAlign w:val="center"/>
          </w:tcPr>
          <w:p w14:paraId="408821D1">
            <w:pPr>
              <w:pStyle w:val="16"/>
              <w:spacing w:after="0" w:afterLines="0"/>
              <w:ind w:firstLine="0" w:firstLineChars="0"/>
              <w:jc w:val="center"/>
              <w:rPr>
                <w:rFonts w:hint="default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C033A">
            <w:pPr>
              <w:pStyle w:val="16"/>
              <w:spacing w:after="0" w:afterLines="0"/>
              <w:ind w:firstLine="0" w:firstLineChars="0"/>
              <w:jc w:val="center"/>
              <w:rPr>
                <w:rFonts w:hint="default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每千克</w:t>
            </w:r>
            <w:r>
              <w:rPr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36</w:t>
            </w:r>
            <w:r>
              <w:rPr>
                <w:rFonts w:hint="eastAsia"/>
                <w:color w:val="000000" w:themeColor="text1"/>
                <w:kern w:val="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支</w:t>
            </w:r>
            <w:r>
              <w:rPr>
                <w:rFonts w:hint="default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以内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1ABE1C">
            <w:pPr>
              <w:pStyle w:val="16"/>
              <w:spacing w:after="0" w:afterLines="0"/>
              <w:ind w:firstLine="0" w:firstLineChars="0"/>
              <w:jc w:val="center"/>
              <w:rPr>
                <w:rFonts w:hint="default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每千克36</w:t>
            </w:r>
            <w:r>
              <w:rPr>
                <w:rFonts w:hint="eastAsia"/>
                <w:color w:val="000000" w:themeColor="text1"/>
                <w:kern w:val="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支</w:t>
            </w:r>
            <w:r>
              <w:rPr>
                <w:rFonts w:hint="default"/>
                <w:color w:val="000000" w:themeColor="text1"/>
                <w:kern w:val="2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以内</w:t>
            </w:r>
          </w:p>
        </w:tc>
      </w:tr>
      <w:tr w14:paraId="1921B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AD30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7C0FE3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25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F8CD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Cs/>
                <w:color w:val="000000"/>
                <w:szCs w:val="21"/>
              </w:rPr>
              <w:t>/</w:t>
            </w:r>
          </w:p>
        </w:tc>
        <w:tc>
          <w:tcPr>
            <w:tcW w:w="24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67C82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10～25cm，直径1.5～2.5cm</w:t>
            </w:r>
          </w:p>
        </w:tc>
        <w:tc>
          <w:tcPr>
            <w:tcW w:w="21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1D44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～25cm</w:t>
            </w:r>
          </w:p>
        </w:tc>
      </w:tr>
      <w:tr w14:paraId="238CFD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D2A9D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340E5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85EE02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729F6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1.5～2.5cm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084D98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1.5～2.5cm</w:t>
            </w:r>
          </w:p>
        </w:tc>
      </w:tr>
      <w:tr w14:paraId="021EC5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4C264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6BE5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D3A15">
            <w:pPr>
              <w:pStyle w:val="10"/>
              <w:widowControl/>
              <w:jc w:val="center"/>
              <w:rPr>
                <w:rFonts w:hint="default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品粉末黄白色。淀粉粒甚多，单粒圆球形、多角形、椭圆形或盔帽形，直径3～25μm，脐点点状、裂缝状、十字状、三叉状、星状或人字状；复粒多由2～12分粒组成。网纹导管、螺纹导管直径10～85μm。木栓细胞多角形或类长方形，淡黄棕色。油管多已破碎，含淡黄棕色分泌物</w:t>
            </w:r>
          </w:p>
        </w:tc>
      </w:tr>
      <w:tr w14:paraId="067C52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62A2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0EF76D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9EC8E">
            <w:pPr>
              <w:pStyle w:val="10"/>
              <w:widowControl/>
              <w:jc w:val="center"/>
              <w:rPr>
                <w:rFonts w:hint="default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kern w:val="2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本品粉末0.5g，加乙醚10ml，浸泡1小时，时时振摇，滤过，滤液挥干，残渣加乙酸乙酯1ml使溶解，作为供试品溶液。另取白芷对照药材0.5g，同法制成对照药材溶液。再取欧前胡素对照品、异欧前胡素对照品，加乙酸乙酯制成每1ml各含1mg的混合溶液，作为对照品溶液。照薄层色谱法（《中华人民共和国药典》2020年版通则0502）试验，吸取上述三种溶液各4μl，分别点于同一硅胶G薄层板上，以石油醚（30～60℃）-乙醚（3:2）为展开剂，在25℃以下展开，取出，晾干，置紫外光灯（365nm）下检视。供试品色谱中，在与对照药材色谱和对照品色谱相应的位置上，显相同颜色的荧光斑点</w:t>
            </w:r>
          </w:p>
        </w:tc>
      </w:tr>
      <w:tr w14:paraId="65610C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82441F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1F2531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93AA1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不得过14.0%</w:t>
            </w:r>
          </w:p>
        </w:tc>
      </w:tr>
      <w:tr w14:paraId="007BD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42438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ECFE8E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D6344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不得过6.0%</w:t>
            </w:r>
          </w:p>
        </w:tc>
      </w:tr>
      <w:tr w14:paraId="21FA5A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2F0F55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34D218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CED12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≤150mg/kg</w:t>
            </w:r>
          </w:p>
        </w:tc>
      </w:tr>
      <w:tr w14:paraId="428D2C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C318A5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4E8FA6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7B3D2A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10BE2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9E3369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B38E41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5AD7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铅不得过5mg/kg；镉不得过1mg/kg；砷不得过2mg/kg；汞不得过0.2mg/kg；铜不得过20mg/kg</w:t>
            </w:r>
          </w:p>
        </w:tc>
      </w:tr>
      <w:tr w14:paraId="64B07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1A14633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3893D0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醇溶性浸出物</w:t>
            </w:r>
          </w:p>
        </w:tc>
        <w:tc>
          <w:tcPr>
            <w:tcW w:w="7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7B7AEE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不得少于15.0%</w:t>
            </w:r>
          </w:p>
        </w:tc>
      </w:tr>
      <w:tr w14:paraId="78E276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6F997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5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93D81">
            <w:pPr>
              <w:widowControl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欧前胡素（C</w:t>
            </w: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vertAlign w:val="subscript"/>
                <w:lang w:bidi="ar"/>
                <w14:textFill>
                  <w14:solidFill>
                    <w14:schemeClr w14:val="tx1"/>
                  </w14:solidFill>
                </w14:textFill>
              </w:rPr>
              <w:t>16</w:t>
            </w: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vertAlign w:val="subscript"/>
                <w:lang w:bidi="ar"/>
                <w14:textFill>
                  <w14:solidFill>
                    <w14:schemeClr w14:val="tx1"/>
                  </w14:solidFill>
                </w14:textFill>
              </w:rPr>
              <w:t>14</w:t>
            </w: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vertAlign w:val="subscript"/>
                <w:lang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173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E7C2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不得少于0.080%</w:t>
            </w:r>
          </w:p>
        </w:tc>
      </w:tr>
      <w:tr w14:paraId="33E29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22F1E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6C2B1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71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05A60B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3567C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E9BA94">
            <w:pPr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51AEF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01B2F0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08528C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15CA0F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GAP备案或延伸审查通过</w:t>
            </w:r>
          </w:p>
        </w:tc>
      </w:tr>
      <w:tr w14:paraId="346BE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6E7273">
            <w:pPr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B8D94">
            <w:pPr>
              <w:widowControl/>
              <w:jc w:val="center"/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2985D9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61486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803FD"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76EE4AC3">
      <w:pPr>
        <w:rPr>
          <w:rFonts w:ascii="Times New Roman" w:hAnsi="Times New Roman" w:eastAsia="黑体"/>
          <w:bCs/>
          <w:color w:val="000000"/>
          <w:szCs w:val="21"/>
        </w:rPr>
      </w:pPr>
      <w:r>
        <w:rPr>
          <w:rFonts w:ascii="Times New Roman" w:hAnsi="Times New Roman" w:eastAsia="黑体"/>
          <w:bCs/>
          <w:color w:val="000000"/>
          <w:szCs w:val="21"/>
        </w:rPr>
        <w:br w:type="page"/>
      </w:r>
    </w:p>
    <w:p w14:paraId="5F29F39A">
      <w:pPr>
        <w:spacing w:before="156" w:beforeLines="50" w:after="156" w:afterLines="50"/>
        <w:jc w:val="center"/>
        <w:outlineLvl w:val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附录</w:t>
      </w:r>
      <w:r>
        <w:rPr>
          <w:rFonts w:hint="eastAsia" w:ascii="Times New Roman" w:hAnsi="Times New Roman" w:eastAsia="黑体"/>
          <w:szCs w:val="21"/>
        </w:rPr>
        <w:t>A</w:t>
      </w:r>
    </w:p>
    <w:p w14:paraId="5E575B34">
      <w:pPr>
        <w:spacing w:before="156" w:beforeLines="50" w:after="156" w:afterLines="50"/>
        <w:jc w:val="center"/>
        <w:outlineLvl w:val="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（规范性附录）</w:t>
      </w:r>
    </w:p>
    <w:p w14:paraId="053CC5D4">
      <w:pPr>
        <w:spacing w:before="156" w:beforeLines="50" w:after="156" w:afterLines="50"/>
        <w:jc w:val="center"/>
        <w:outlineLvl w:val="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>白芷集采交易</w:t>
      </w:r>
      <w:r>
        <w:rPr>
          <w:rFonts w:ascii="Times New Roman" w:hAnsi="Times New Roman" w:eastAsia="黑体"/>
          <w:szCs w:val="21"/>
        </w:rPr>
        <w:t>规格等级性状图</w:t>
      </w:r>
    </w:p>
    <w:p w14:paraId="2EF6738D">
      <w:pPr>
        <w:pStyle w:val="27"/>
        <w:spacing w:before="156" w:beforeLines="50" w:after="156" w:afterLines="50"/>
        <w:ind w:firstLine="0" w:firstLineChars="0"/>
        <w:jc w:val="center"/>
        <w:rPr>
          <w:rFonts w:ascii="Times New Roman" w:hAnsi="Times New Roman"/>
          <w:szCs w:val="21"/>
          <w:lang w:val="zh-CN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3465830" cy="2951480"/>
            <wp:effectExtent l="0" t="0" r="1270" b="7620"/>
            <wp:docPr id="16" name="图片 16" descr="8-白芷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8-白芷（统货）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2951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99308">
      <w:pPr>
        <w:spacing w:before="156" w:beforeLines="50" w:after="156" w:afterLines="50"/>
        <w:jc w:val="center"/>
        <w:outlineLvl w:val="0"/>
        <w:rPr>
          <w:rFonts w:ascii="Times New Roman" w:hAnsi="Times New Roman" w:eastAsia="黑体"/>
          <w:szCs w:val="21"/>
          <w:lang w:val="zh-CN"/>
        </w:rPr>
      </w:pPr>
      <w:r>
        <w:rPr>
          <w:rFonts w:hint="eastAsia" w:ascii="Times New Roman" w:hAnsi="Times New Roman" w:eastAsia="黑体"/>
          <w:szCs w:val="21"/>
          <w:lang w:val="zh-CN"/>
        </w:rPr>
        <w:t>图</w:t>
      </w:r>
      <w:r>
        <w:rPr>
          <w:rFonts w:hint="eastAsia" w:ascii="Times New Roman" w:hAnsi="Times New Roman" w:eastAsia="黑体"/>
          <w:szCs w:val="21"/>
        </w:rPr>
        <w:t>A1</w:t>
      </w:r>
      <w:r>
        <w:rPr>
          <w:rFonts w:hint="eastAsia" w:ascii="Times New Roman" w:hAnsi="Times New Roman" w:eastAsia="黑体"/>
          <w:szCs w:val="21"/>
          <w:lang w:val="zh-CN"/>
        </w:rPr>
        <w:t xml:space="preserve"> 白芷（</w:t>
      </w:r>
      <w:r>
        <w:rPr>
          <w:rFonts w:hint="eastAsia" w:ascii="Times New Roman" w:hAnsi="Times New Roman" w:eastAsia="黑体"/>
          <w:szCs w:val="21"/>
        </w:rPr>
        <w:t>统货</w:t>
      </w:r>
      <w:r>
        <w:rPr>
          <w:rFonts w:hint="eastAsia" w:ascii="Times New Roman" w:hAnsi="Times New Roman" w:eastAsia="黑体"/>
          <w:szCs w:val="21"/>
          <w:lang w:val="zh-CN"/>
        </w:rPr>
        <w:t>）</w:t>
      </w:r>
      <w:r>
        <w:rPr>
          <w:rFonts w:hint="eastAsia" w:ascii="Times New Roman" w:hAnsi="Times New Roman" w:eastAsia="黑体"/>
          <w:szCs w:val="21"/>
        </w:rPr>
        <w:t>规格</w:t>
      </w:r>
      <w:r>
        <w:rPr>
          <w:rFonts w:hint="eastAsia" w:ascii="Times New Roman" w:hAnsi="Times New Roman" w:eastAsia="黑体"/>
          <w:szCs w:val="21"/>
          <w:lang w:val="zh-CN"/>
        </w:rPr>
        <w:t>等级</w:t>
      </w:r>
      <w:r>
        <w:rPr>
          <w:rFonts w:hint="eastAsia" w:ascii="Times New Roman" w:hAnsi="Times New Roman" w:eastAsia="黑体"/>
          <w:szCs w:val="21"/>
        </w:rPr>
        <w:t>性状</w:t>
      </w:r>
      <w:r>
        <w:rPr>
          <w:rFonts w:hint="eastAsia" w:ascii="Times New Roman" w:hAnsi="Times New Roman" w:eastAsia="黑体"/>
          <w:szCs w:val="21"/>
          <w:lang w:val="zh-CN"/>
        </w:rPr>
        <w:t>图</w:t>
      </w:r>
    </w:p>
    <w:p w14:paraId="251ECD6D">
      <w:pPr>
        <w:pStyle w:val="27"/>
        <w:spacing w:before="156" w:beforeLines="50" w:after="156" w:afterLines="50"/>
        <w:ind w:firstLine="0" w:firstLineChars="0"/>
        <w:jc w:val="center"/>
        <w:rPr>
          <w:rFonts w:ascii="Times New Roman" w:hAnsi="Times New Roman"/>
          <w:szCs w:val="21"/>
          <w:lang w:val="zh-CN"/>
        </w:rPr>
      </w:pPr>
      <w:r>
        <w:rPr>
          <w:rFonts w:ascii="Times New Roman" w:hAnsi="Times New Roman"/>
          <w:szCs w:val="21"/>
        </w:rPr>
        <w:drawing>
          <wp:inline distT="0" distB="0" distL="114300" distR="114300">
            <wp:extent cx="3467100" cy="2844800"/>
            <wp:effectExtent l="0" t="0" r="0" b="0"/>
            <wp:docPr id="17" name="图片 17" descr="8-白芷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8-白芷（选货）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284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5AD884">
      <w:pPr>
        <w:spacing w:before="156" w:beforeLines="50" w:after="156" w:afterLines="50"/>
        <w:jc w:val="center"/>
        <w:outlineLvl w:val="0"/>
        <w:rPr>
          <w:rFonts w:ascii="Times New Roman" w:hAnsi="Times New Roman" w:eastAsia="黑体"/>
          <w:szCs w:val="21"/>
        </w:rPr>
      </w:pPr>
      <w:r>
        <w:rPr>
          <w:rFonts w:hint="eastAsia" w:ascii="Times New Roman" w:hAnsi="Times New Roman" w:eastAsia="黑体"/>
          <w:szCs w:val="21"/>
        </w:rPr>
        <w:t xml:space="preserve">图A2 </w:t>
      </w:r>
      <w:r>
        <w:rPr>
          <w:rFonts w:ascii="Times New Roman" w:hAnsi="Times New Roman" w:eastAsia="黑体"/>
          <w:szCs w:val="21"/>
          <w:lang w:val="zh-CN"/>
        </w:rPr>
        <w:t>白芷</w:t>
      </w:r>
      <w:r>
        <w:rPr>
          <w:rFonts w:hint="eastAsia" w:ascii="Times New Roman" w:hAnsi="Times New Roman" w:eastAsia="黑体"/>
          <w:szCs w:val="21"/>
          <w:lang w:val="zh-CN"/>
        </w:rPr>
        <w:t>（</w:t>
      </w:r>
      <w:r>
        <w:rPr>
          <w:rFonts w:hint="eastAsia" w:ascii="Times New Roman" w:hAnsi="Times New Roman" w:eastAsia="黑体"/>
          <w:szCs w:val="21"/>
        </w:rPr>
        <w:t>选货</w:t>
      </w:r>
      <w:r>
        <w:rPr>
          <w:rFonts w:hint="eastAsia" w:ascii="Times New Roman" w:hAnsi="Times New Roman" w:eastAsia="黑体"/>
          <w:szCs w:val="21"/>
          <w:lang w:val="zh-CN"/>
        </w:rPr>
        <w:t>）</w:t>
      </w:r>
      <w:r>
        <w:rPr>
          <w:rFonts w:hint="eastAsia" w:ascii="Times New Roman" w:hAnsi="Times New Roman" w:eastAsia="黑体"/>
          <w:szCs w:val="21"/>
        </w:rPr>
        <w:t>规格</w:t>
      </w:r>
      <w:r>
        <w:rPr>
          <w:rFonts w:ascii="Times New Roman" w:hAnsi="Times New Roman" w:eastAsia="黑体"/>
          <w:szCs w:val="21"/>
          <w:lang w:val="zh-CN"/>
        </w:rPr>
        <w:t>等级</w:t>
      </w:r>
      <w:r>
        <w:rPr>
          <w:rFonts w:hint="eastAsia" w:ascii="Times New Roman" w:hAnsi="Times New Roman" w:eastAsia="黑体"/>
          <w:szCs w:val="21"/>
        </w:rPr>
        <w:t>性状</w:t>
      </w:r>
      <w:r>
        <w:rPr>
          <w:rFonts w:ascii="Times New Roman" w:hAnsi="Times New Roman" w:eastAsia="黑体"/>
          <w:szCs w:val="21"/>
          <w:lang w:val="zh-CN"/>
        </w:rPr>
        <w:t>图</w:t>
      </w:r>
    </w:p>
    <w:p w14:paraId="3990D352">
      <w:pPr>
        <w:spacing w:before="156" w:beforeLines="50" w:after="156" w:afterLines="50"/>
        <w:jc w:val="center"/>
        <w:outlineLvl w:val="0"/>
        <w:rPr>
          <w:rFonts w:ascii="Times New Roman" w:hAnsi="Times New Roman" w:eastAsia="黑体"/>
          <w:color w:val="000000"/>
          <w:szCs w:val="21"/>
        </w:rPr>
      </w:pPr>
    </w:p>
    <w:p w14:paraId="48F58CCF">
      <w:pPr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ascii="Times New Roman" w:hAnsi="Times New Roman" w:eastAsia="黑体"/>
          <w:bCs/>
          <w:color w:val="000000"/>
          <w:sz w:val="32"/>
          <w:szCs w:val="32"/>
        </w:rPr>
        <w:br w:type="page"/>
      </w:r>
    </w:p>
    <w:bookmarkEnd w:id="20"/>
    <w:p w14:paraId="6E586B09">
      <w:pPr>
        <w:tabs>
          <w:tab w:val="center" w:pos="0"/>
          <w:tab w:val="center" w:pos="4201"/>
          <w:tab w:val="right" w:leader="dot" w:pos="9298"/>
        </w:tabs>
        <w:spacing w:before="156" w:beforeLines="50" w:after="156" w:afterLines="50"/>
        <w:jc w:val="center"/>
        <w:outlineLvl w:val="0"/>
        <w:rPr>
          <w:rFonts w:ascii="Times New Roman" w:hAnsi="Times New Roman" w:eastAsia="黑体"/>
          <w:szCs w:val="21"/>
        </w:rPr>
      </w:pPr>
      <w:bookmarkStart w:id="29" w:name="_Toc25047693"/>
      <w:bookmarkStart w:id="30" w:name="_Toc7443"/>
      <w:bookmarkStart w:id="31" w:name="_Toc9701"/>
      <w:bookmarkStart w:id="32" w:name="_Toc15722"/>
      <w:bookmarkStart w:id="33" w:name="_Toc27406"/>
      <w:bookmarkStart w:id="34" w:name="_Toc26118"/>
      <w:bookmarkStart w:id="35" w:name="_Toc16858"/>
      <w:bookmarkStart w:id="36" w:name="_Toc30293"/>
      <w:r>
        <w:rPr>
          <w:rFonts w:ascii="Times New Roman" w:hAnsi="Times New Roman" w:eastAsia="黑体"/>
          <w:szCs w:val="21"/>
        </w:rPr>
        <w:t>参考文献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945D3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firstLine="420" w:firstLineChars="200"/>
        <w:textAlignment w:val="auto"/>
        <w:rPr>
          <w:rFonts w:ascii="Times New Roman" w:hAnsi="Times New Roman"/>
        </w:rPr>
      </w:pPr>
    </w:p>
    <w:sectPr>
      <w:headerReference r:id="rId8" w:type="default"/>
      <w:headerReference r:id="rId9" w:type="even"/>
      <w:footerReference r:id="rId10" w:type="even"/>
      <w:pgSz w:w="11906" w:h="16838"/>
      <w:pgMar w:top="1417" w:right="1134" w:bottom="1134" w:left="1417" w:header="907" w:footer="850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321B73">
    <w:pPr>
      <w:pStyle w:val="6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6E6DE802">
    <w:pPr>
      <w:pStyle w:val="6"/>
      <w:ind w:left="-283" w:leftChars="-135"/>
      <w:jc w:val="right"/>
    </w:pPr>
  </w:p>
  <w:p w14:paraId="4D98352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2D9B8A">
    <w:pPr>
      <w:pStyle w:val="6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563B103B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5C72DCD4">
        <w:pPr>
          <w:pStyle w:val="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 w14:paraId="0819BFE4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9286E">
    <w:pPr>
      <w:pStyle w:val="23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43C84F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43C84F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 xml:space="preserve">RB </w:t>
    </w:r>
    <w:r>
      <w:rPr>
        <w:rFonts w:hint="eastAsia" w:ascii="黑体" w:hAnsi="黑体" w:eastAsia="黑体"/>
        <w:sz w:val="21"/>
        <w:szCs w:val="21"/>
      </w:rPr>
      <w:t>白芷白芷</w:t>
    </w:r>
    <w:r>
      <w:rPr>
        <w:rFonts w:ascii="黑体" w:hAnsi="黑体" w:eastAsia="黑体"/>
        <w:sz w:val="21"/>
        <w:szCs w:val="21"/>
      </w:rPr>
      <w:t>X—</w:t>
    </w:r>
    <w:r>
      <w:rPr>
        <w:rFonts w:hint="eastAsia" w:ascii="黑体" w:hAnsi="黑体" w:eastAsia="黑体"/>
        <w:sz w:val="21"/>
        <w:szCs w:val="21"/>
      </w:rPr>
      <w:t>白芷白芷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B55E90">
    <w:pPr>
      <w:pStyle w:val="7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0001.9-2024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719123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DF316D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DF316D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FAC495">
    <w:pPr>
      <w:pStyle w:val="7"/>
      <w:pBdr>
        <w:bottom w:val="none" w:color="auto" w:sz="0" w:space="1"/>
      </w:pBdr>
      <w:jc w:val="right"/>
      <w:rPr>
        <w:rFonts w:ascii="黑体" w:hAnsi="黑体" w:eastAsia="黑体"/>
        <w:sz w:val="21"/>
        <w:szCs w:val="21"/>
      </w:rPr>
    </w:pPr>
  </w:p>
  <w:p w14:paraId="0EB88930">
    <w:pPr>
      <w:pStyle w:val="7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4</w:t>
    </w:r>
    <w:r>
      <w:rPr>
        <w:rFonts w:hint="eastAsia" w:ascii="黑体" w:hAnsi="黑体" w:eastAsia="黑体"/>
        <w:sz w:val="21"/>
        <w:szCs w:val="21"/>
      </w:rPr>
      <w:t>-2024</w:t>
    </w:r>
  </w:p>
  <w:p w14:paraId="597B0AB8">
    <w:pPr>
      <w:pStyle w:val="7"/>
      <w:pBdr>
        <w:bottom w:val="none" w:color="auto" w:sz="0" w:space="1"/>
      </w:pBdr>
      <w:jc w:val="right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AA48A7">
    <w:pPr>
      <w:pStyle w:val="7"/>
      <w:pBdr>
        <w:bottom w:val="none" w:color="auto" w:sz="0" w:space="1"/>
      </w:pBdr>
      <w:jc w:val="left"/>
      <w:rPr>
        <w:rFonts w:ascii="黑体" w:hAnsi="黑体" w:eastAsia="黑体"/>
        <w:sz w:val="21"/>
        <w:szCs w:val="21"/>
      </w:rPr>
    </w:pPr>
  </w:p>
  <w:p w14:paraId="0C316C85">
    <w:pPr>
      <w:pStyle w:val="7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4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  <w:docVar w:name="KSO_WPS_MARK_KEY" w:val="323e49dd-2f13-4e78-b7f7-41254c3d2ec3"/>
  </w:docVars>
  <w:rsids>
    <w:rsidRoot w:val="15B2766E"/>
    <w:rsid w:val="0011568B"/>
    <w:rsid w:val="005B50CF"/>
    <w:rsid w:val="007E775D"/>
    <w:rsid w:val="008531A9"/>
    <w:rsid w:val="00893157"/>
    <w:rsid w:val="00A53FD4"/>
    <w:rsid w:val="00DB6561"/>
    <w:rsid w:val="00EB60EB"/>
    <w:rsid w:val="013F77F9"/>
    <w:rsid w:val="01BB5A85"/>
    <w:rsid w:val="02212F35"/>
    <w:rsid w:val="02532161"/>
    <w:rsid w:val="027A3708"/>
    <w:rsid w:val="02B70970"/>
    <w:rsid w:val="03A4699D"/>
    <w:rsid w:val="03E569E9"/>
    <w:rsid w:val="04846602"/>
    <w:rsid w:val="062260D2"/>
    <w:rsid w:val="071B65A3"/>
    <w:rsid w:val="07D478A0"/>
    <w:rsid w:val="09091F15"/>
    <w:rsid w:val="0AEF6DBA"/>
    <w:rsid w:val="0B4D20B4"/>
    <w:rsid w:val="0BAE6343"/>
    <w:rsid w:val="0CAA4779"/>
    <w:rsid w:val="0D8238FA"/>
    <w:rsid w:val="0E43752E"/>
    <w:rsid w:val="0E552FD0"/>
    <w:rsid w:val="0FA75E3A"/>
    <w:rsid w:val="11D4481D"/>
    <w:rsid w:val="120664EF"/>
    <w:rsid w:val="13645F7C"/>
    <w:rsid w:val="15B2766E"/>
    <w:rsid w:val="179817E5"/>
    <w:rsid w:val="180D6418"/>
    <w:rsid w:val="186662F2"/>
    <w:rsid w:val="18AB315F"/>
    <w:rsid w:val="19EC025E"/>
    <w:rsid w:val="1A7A7A3E"/>
    <w:rsid w:val="1B004DA4"/>
    <w:rsid w:val="1B5A68E3"/>
    <w:rsid w:val="1B78507E"/>
    <w:rsid w:val="1C4F41C9"/>
    <w:rsid w:val="1C8675B7"/>
    <w:rsid w:val="1CE85BD6"/>
    <w:rsid w:val="1D1330FF"/>
    <w:rsid w:val="1DBE272D"/>
    <w:rsid w:val="1E2A43CE"/>
    <w:rsid w:val="1E861C86"/>
    <w:rsid w:val="1F046865"/>
    <w:rsid w:val="1F9E71F1"/>
    <w:rsid w:val="202F346E"/>
    <w:rsid w:val="20602EE4"/>
    <w:rsid w:val="209F01F9"/>
    <w:rsid w:val="20B5233C"/>
    <w:rsid w:val="21523503"/>
    <w:rsid w:val="222F7A69"/>
    <w:rsid w:val="23492C57"/>
    <w:rsid w:val="241C63FF"/>
    <w:rsid w:val="25245E5B"/>
    <w:rsid w:val="25563B2E"/>
    <w:rsid w:val="27135897"/>
    <w:rsid w:val="2788798C"/>
    <w:rsid w:val="283C77D9"/>
    <w:rsid w:val="28550131"/>
    <w:rsid w:val="293A411F"/>
    <w:rsid w:val="2A670DB5"/>
    <w:rsid w:val="2A753B73"/>
    <w:rsid w:val="2B057638"/>
    <w:rsid w:val="2B5E10AB"/>
    <w:rsid w:val="2C386A9C"/>
    <w:rsid w:val="2C985E63"/>
    <w:rsid w:val="2CD75C8A"/>
    <w:rsid w:val="2DBF44F6"/>
    <w:rsid w:val="2E625143"/>
    <w:rsid w:val="30475DE0"/>
    <w:rsid w:val="31760EE1"/>
    <w:rsid w:val="32315DFB"/>
    <w:rsid w:val="33ED56C2"/>
    <w:rsid w:val="34365D84"/>
    <w:rsid w:val="367F57BD"/>
    <w:rsid w:val="376A3A13"/>
    <w:rsid w:val="385B0EAA"/>
    <w:rsid w:val="39455658"/>
    <w:rsid w:val="39634B80"/>
    <w:rsid w:val="398E66CE"/>
    <w:rsid w:val="3A661625"/>
    <w:rsid w:val="3A7B54A2"/>
    <w:rsid w:val="3B516FB8"/>
    <w:rsid w:val="3B7478BC"/>
    <w:rsid w:val="3C2F50CB"/>
    <w:rsid w:val="3C50784B"/>
    <w:rsid w:val="3C5E535B"/>
    <w:rsid w:val="3D393726"/>
    <w:rsid w:val="3E2449C7"/>
    <w:rsid w:val="3E591264"/>
    <w:rsid w:val="3E820254"/>
    <w:rsid w:val="3E894239"/>
    <w:rsid w:val="3EA50618"/>
    <w:rsid w:val="3EDA6843"/>
    <w:rsid w:val="414E2B07"/>
    <w:rsid w:val="41C863F0"/>
    <w:rsid w:val="425F235D"/>
    <w:rsid w:val="42C6599D"/>
    <w:rsid w:val="43A93DC6"/>
    <w:rsid w:val="45EF170D"/>
    <w:rsid w:val="46566D64"/>
    <w:rsid w:val="46911373"/>
    <w:rsid w:val="46AA2F9F"/>
    <w:rsid w:val="471164D8"/>
    <w:rsid w:val="474451A1"/>
    <w:rsid w:val="47593B86"/>
    <w:rsid w:val="47AE6527"/>
    <w:rsid w:val="48B54FCB"/>
    <w:rsid w:val="48E40964"/>
    <w:rsid w:val="49134DCD"/>
    <w:rsid w:val="492D6FBF"/>
    <w:rsid w:val="49C147CD"/>
    <w:rsid w:val="4A7B2700"/>
    <w:rsid w:val="4AD0397D"/>
    <w:rsid w:val="4B4873FF"/>
    <w:rsid w:val="4BF929FE"/>
    <w:rsid w:val="4C0563A2"/>
    <w:rsid w:val="4C4A21A8"/>
    <w:rsid w:val="4C910D0F"/>
    <w:rsid w:val="4DA51023"/>
    <w:rsid w:val="4DF17184"/>
    <w:rsid w:val="4E1C64F6"/>
    <w:rsid w:val="4E33729B"/>
    <w:rsid w:val="4E4B6454"/>
    <w:rsid w:val="4EB212ED"/>
    <w:rsid w:val="4ECE4DC2"/>
    <w:rsid w:val="4F145070"/>
    <w:rsid w:val="4F4C72E9"/>
    <w:rsid w:val="4FD448E1"/>
    <w:rsid w:val="4FE9326C"/>
    <w:rsid w:val="5073598C"/>
    <w:rsid w:val="52132340"/>
    <w:rsid w:val="522A30F1"/>
    <w:rsid w:val="524467E0"/>
    <w:rsid w:val="52B81345"/>
    <w:rsid w:val="54674732"/>
    <w:rsid w:val="54D062C6"/>
    <w:rsid w:val="554149BF"/>
    <w:rsid w:val="556B21D1"/>
    <w:rsid w:val="556F240B"/>
    <w:rsid w:val="5577646D"/>
    <w:rsid w:val="56121E41"/>
    <w:rsid w:val="5695656B"/>
    <w:rsid w:val="57285B72"/>
    <w:rsid w:val="57B31183"/>
    <w:rsid w:val="594945DA"/>
    <w:rsid w:val="595A2602"/>
    <w:rsid w:val="59950907"/>
    <w:rsid w:val="5A134FAF"/>
    <w:rsid w:val="5A7157D9"/>
    <w:rsid w:val="5B9C33A6"/>
    <w:rsid w:val="5BBE3015"/>
    <w:rsid w:val="5D2D6150"/>
    <w:rsid w:val="5E817D7E"/>
    <w:rsid w:val="5EAC554C"/>
    <w:rsid w:val="5F8A1E93"/>
    <w:rsid w:val="60194C3D"/>
    <w:rsid w:val="60640DF9"/>
    <w:rsid w:val="6154653F"/>
    <w:rsid w:val="62AF768D"/>
    <w:rsid w:val="62CD5FB1"/>
    <w:rsid w:val="636131FA"/>
    <w:rsid w:val="63B3570F"/>
    <w:rsid w:val="63B908F1"/>
    <w:rsid w:val="63F76AC3"/>
    <w:rsid w:val="659C46CE"/>
    <w:rsid w:val="6655667C"/>
    <w:rsid w:val="68091DC3"/>
    <w:rsid w:val="68600824"/>
    <w:rsid w:val="698F0971"/>
    <w:rsid w:val="69A55B1C"/>
    <w:rsid w:val="69BF098B"/>
    <w:rsid w:val="6C5D26DE"/>
    <w:rsid w:val="6DB81534"/>
    <w:rsid w:val="6DE77131"/>
    <w:rsid w:val="6DF87B1E"/>
    <w:rsid w:val="6E4C27CF"/>
    <w:rsid w:val="70525DED"/>
    <w:rsid w:val="70721D22"/>
    <w:rsid w:val="712A66B5"/>
    <w:rsid w:val="71784542"/>
    <w:rsid w:val="71D36D7A"/>
    <w:rsid w:val="72B20EEF"/>
    <w:rsid w:val="73B1528A"/>
    <w:rsid w:val="73FF4E34"/>
    <w:rsid w:val="743A5E62"/>
    <w:rsid w:val="746F2FAE"/>
    <w:rsid w:val="74D030BA"/>
    <w:rsid w:val="75C90F16"/>
    <w:rsid w:val="7603113B"/>
    <w:rsid w:val="76031347"/>
    <w:rsid w:val="77F037F4"/>
    <w:rsid w:val="78786C00"/>
    <w:rsid w:val="78A6284A"/>
    <w:rsid w:val="78FC11DC"/>
    <w:rsid w:val="79817D98"/>
    <w:rsid w:val="7B84016B"/>
    <w:rsid w:val="7C275173"/>
    <w:rsid w:val="7D052701"/>
    <w:rsid w:val="7D513693"/>
    <w:rsid w:val="7DCA437F"/>
    <w:rsid w:val="7F17164D"/>
    <w:rsid w:val="7FD1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ind w:firstLine="420" w:firstLineChars="200"/>
      <w:outlineLvl w:val="0"/>
    </w:pPr>
    <w:rPr>
      <w:rFonts w:ascii="宋体" w:hAnsi="宋体"/>
      <w:kern w:val="44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qFormat/>
    <w:uiPriority w:val="1"/>
    <w:pPr>
      <w:ind w:left="120"/>
    </w:pPr>
    <w:rPr>
      <w:rFonts w:ascii="宋体" w:hAnsi="宋体"/>
      <w:szCs w:val="21"/>
    </w:rPr>
  </w:style>
  <w:style w:type="paragraph" w:styleId="5">
    <w:name w:val="Balloon Text"/>
    <w:basedOn w:val="1"/>
    <w:link w:val="26"/>
    <w:qFormat/>
    <w:uiPriority w:val="0"/>
    <w:rPr>
      <w:sz w:val="18"/>
      <w:szCs w:val="18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qFormat/>
    <w:uiPriority w:val="39"/>
  </w:style>
  <w:style w:type="paragraph" w:styleId="9">
    <w:name w:val="toc 2"/>
    <w:basedOn w:val="1"/>
    <w:next w:val="1"/>
    <w:autoRedefine/>
    <w:qFormat/>
    <w:uiPriority w:val="39"/>
    <w:pPr>
      <w:ind w:left="420" w:leftChars="200"/>
    </w:pPr>
  </w:style>
  <w:style w:type="paragraph" w:styleId="10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1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4">
    <w:name w:val="Hyperlink"/>
    <w:autoRedefine/>
    <w:unhideWhenUsed/>
    <w:qFormat/>
    <w:uiPriority w:val="99"/>
    <w:rPr>
      <w:color w:val="0000FF"/>
      <w:u w:val="none"/>
    </w:rPr>
  </w:style>
  <w:style w:type="character" w:styleId="15">
    <w:name w:val="annotation reference"/>
    <w:basedOn w:val="13"/>
    <w:autoRedefine/>
    <w:qFormat/>
    <w:uiPriority w:val="0"/>
    <w:rPr>
      <w:sz w:val="21"/>
      <w:szCs w:val="21"/>
    </w:rPr>
  </w:style>
  <w:style w:type="paragraph" w:customStyle="1" w:styleId="16">
    <w:name w:val="测试1"/>
    <w:basedOn w:val="1"/>
    <w:link w:val="25"/>
    <w:autoRedefine/>
    <w:qFormat/>
    <w:uiPriority w:val="0"/>
    <w:pPr>
      <w:widowControl/>
      <w:spacing w:after="100" w:afterLines="100"/>
      <w:ind w:firstLine="420" w:firstLineChars="200"/>
      <w:jc w:val="left"/>
    </w:pPr>
    <w:rPr>
      <w:rFonts w:hint="eastAsia" w:ascii="宋体" w:hAnsi="宋体"/>
      <w:color w:val="000000"/>
      <w:kern w:val="0"/>
      <w:sz w:val="28"/>
      <w:szCs w:val="28"/>
    </w:rPr>
  </w:style>
  <w:style w:type="paragraph" w:customStyle="1" w:styleId="17">
    <w:name w:val="实施日期"/>
    <w:basedOn w:val="18"/>
    <w:autoRedefine/>
    <w:qFormat/>
    <w:uiPriority w:val="0"/>
    <w:pPr>
      <w:framePr w:wrap="around" w:vAnchor="page" w:hAnchor="text"/>
      <w:jc w:val="right"/>
    </w:pPr>
  </w:style>
  <w:style w:type="paragraph" w:customStyle="1" w:styleId="18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9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20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21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2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3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4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25">
    <w:name w:val="测试1 Char"/>
    <w:link w:val="16"/>
    <w:autoRedefine/>
    <w:qFormat/>
    <w:uiPriority w:val="0"/>
    <w:rPr>
      <w:rFonts w:hint="eastAsia" w:ascii="宋体" w:hAnsi="宋体" w:cs="宋体"/>
      <w:color w:val="000000"/>
      <w:kern w:val="0"/>
      <w:sz w:val="28"/>
      <w:szCs w:val="28"/>
      <w:lang w:bidi="ar"/>
    </w:rPr>
  </w:style>
  <w:style w:type="character" w:customStyle="1" w:styleId="26">
    <w:name w:val="批注框文本 Char"/>
    <w:basedOn w:val="13"/>
    <w:link w:val="5"/>
    <w:autoRedefine/>
    <w:qFormat/>
    <w:uiPriority w:val="0"/>
    <w:rPr>
      <w:rFonts w:ascii="Calibri" w:hAnsi="Calibri"/>
      <w:kern w:val="2"/>
      <w:sz w:val="18"/>
      <w:szCs w:val="18"/>
    </w:rPr>
  </w:style>
  <w:style w:type="paragraph" w:styleId="27">
    <w:name w:val="List Paragraph"/>
    <w:basedOn w:val="1"/>
    <w:autoRedefine/>
    <w:qFormat/>
    <w:uiPriority w:val="0"/>
    <w:pPr>
      <w:ind w:firstLine="420" w:firstLineChars="200"/>
    </w:pPr>
    <w:rPr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2723</Words>
  <Characters>3492</Characters>
  <Lines>29</Lines>
  <Paragraphs>8</Paragraphs>
  <TotalTime>0</TotalTime>
  <ScaleCrop>false</ScaleCrop>
  <LinksUpToDate>false</LinksUpToDate>
  <CharactersWithSpaces>3578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2024-04-23T06:31:00Z</dcterms:created>
  <dc:creator>王琦</dc:creator>
  <cp:lastModifiedBy>杨～有机认证</cp:lastModifiedBy>
  <dcterms:modified xsi:type="dcterms:W3CDTF">2024-11-20T08:58:58Z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0980BD4E468742428733CF17FE01BE64_13</vt:lpwstr>
  </property>
</Properties>
</file>