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D2802">
      <w:pPr>
        <w:pageBreakBefore w:val="0"/>
        <w:kinsoku/>
        <w:wordWrap/>
        <w:overflowPunct/>
        <w:topLinePunct w:val="0"/>
        <w:bidi w:val="0"/>
        <w:adjustRightInd/>
        <w:spacing w:before="157" w:beforeLines="50" w:after="157" w:afterLines="50"/>
        <w:ind w:right="-313" w:rightChars="-149"/>
        <w:jc w:val="left"/>
        <w:rPr>
          <w:rFonts w:ascii="黑体" w:hAnsi="黑体" w:eastAsia="黑体"/>
          <w:bCs/>
          <w:color w:val="000000"/>
          <w:szCs w:val="21"/>
          <w:highlight w:val="none"/>
        </w:rPr>
      </w:pPr>
      <w:r>
        <w:rPr>
          <w:rFonts w:ascii="黑体" w:hAnsi="黑体" w:eastAsia="黑体"/>
          <w:bCs/>
          <w:color w:val="000000"/>
          <w:szCs w:val="21"/>
          <w:highlight w:val="none"/>
        </w:rPr>
        <mc:AlternateContent>
          <mc:Choice Requires="wps">
            <w:drawing>
              <wp:anchor distT="0" distB="0" distL="114300" distR="114300" simplePos="0" relativeHeight="251663360" behindDoc="0" locked="1" layoutInCell="1" allowOverlap="1">
                <wp:simplePos x="0" y="0"/>
                <wp:positionH relativeFrom="margin">
                  <wp:posOffset>-243205</wp:posOffset>
                </wp:positionH>
                <wp:positionV relativeFrom="margin">
                  <wp:posOffset>-405765</wp:posOffset>
                </wp:positionV>
                <wp:extent cx="1811655" cy="657860"/>
                <wp:effectExtent l="0" t="0" r="1905" b="12700"/>
                <wp:wrapNone/>
                <wp:docPr id="14" name="fmFrame1"/>
                <wp:cNvGraphicFramePr/>
                <a:graphic xmlns:a="http://schemas.openxmlformats.org/drawingml/2006/main">
                  <a:graphicData uri="http://schemas.microsoft.com/office/word/2010/wordprocessingShape">
                    <wps:wsp>
                      <wps:cNvSpPr txBox="1">
                        <a:spLocks noChangeArrowheads="1"/>
                      </wps:cNvSpPr>
                      <wps:spPr bwMode="auto">
                        <a:xfrm>
                          <a:off x="0" y="0"/>
                          <a:ext cx="1811655" cy="657860"/>
                        </a:xfrm>
                        <a:prstGeom prst="rect">
                          <a:avLst/>
                        </a:prstGeom>
                        <a:solidFill>
                          <a:srgbClr val="FFFFFF"/>
                        </a:solidFill>
                        <a:ln>
                          <a:noFill/>
                        </a:ln>
                      </wps:spPr>
                      <wps:txbx>
                        <w:txbxContent>
                          <w:p w14:paraId="4E2E1465">
                            <w:pPr>
                              <w:pStyle w:val="19"/>
                              <w:rPr>
                                <w:rFonts w:cs="黑体"/>
                              </w:rPr>
                            </w:pPr>
                            <w:r>
                              <w:rPr>
                                <w:rFonts w:cs="黑体"/>
                              </w:rPr>
                              <w:t xml:space="preserve">ICS </w:t>
                            </w:r>
                            <w:r>
                              <w:rPr>
                                <w:rFonts w:hint="eastAsia" w:cs="黑体"/>
                              </w:rPr>
                              <w:t>03</w:t>
                            </w:r>
                            <w:r>
                              <w:rPr>
                                <w:rFonts w:cs="黑体"/>
                              </w:rPr>
                              <w:t>.</w:t>
                            </w:r>
                            <w:r>
                              <w:rPr>
                                <w:rFonts w:hint="eastAsia" w:cs="黑体"/>
                              </w:rPr>
                              <w:t>120</w:t>
                            </w:r>
                            <w:r>
                              <w:rPr>
                                <w:rFonts w:cs="黑体"/>
                              </w:rPr>
                              <w:t>.</w:t>
                            </w:r>
                            <w:r>
                              <w:rPr>
                                <w:rFonts w:hint="eastAsia" w:cs="黑体"/>
                              </w:rPr>
                              <w:t>20</w:t>
                            </w:r>
                          </w:p>
                          <w:p w14:paraId="0FCFF286">
                            <w:pPr>
                              <w:pStyle w:val="19"/>
                              <w:rPr>
                                <w:rFonts w:cs="黑体"/>
                              </w:rPr>
                            </w:pPr>
                            <w:r>
                              <w:rPr>
                                <w:rFonts w:cs="黑体"/>
                              </w:rPr>
                              <w:t>A</w:t>
                            </w:r>
                            <w:r>
                              <w:rPr>
                                <w:rFonts w:hint="eastAsia" w:cs="黑体"/>
                              </w:rPr>
                              <w:t xml:space="preserve"> </w:t>
                            </w:r>
                            <w:r>
                              <w:rPr>
                                <w:rFonts w:cs="黑体"/>
                              </w:rPr>
                              <w:t>00</w:t>
                            </w:r>
                          </w:p>
                          <w:p w14:paraId="2D2747DC">
                            <w:pPr>
                              <w:pStyle w:val="19"/>
                              <w:rPr>
                                <w:rFonts w:hint="eastAsia" w:eastAsia="黑体" w:cs="黑体"/>
                                <w:lang w:eastAsia="zh-CN"/>
                              </w:rPr>
                            </w:pPr>
                            <w:r>
                              <w:rPr>
                                <w:rFonts w:hint="eastAsia" w:cs="黑体"/>
                              </w:rPr>
                              <w:t>备案号：</w:t>
                            </w:r>
                          </w:p>
                          <w:p w14:paraId="361AEC4C">
                            <w:pPr>
                              <w:pStyle w:val="19"/>
                            </w:pP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19.15pt;margin-top:-31.95pt;height:51.8pt;width:142.65pt;mso-position-horizontal-relative:margin;mso-position-vertical-relative:margin;z-index:251663360;mso-width-relative:page;mso-height-relative:page;" fillcolor="#FFFFFF" filled="t" stroked="f" coordsize="21600,21600" o:gfxdata="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FRblg2gAAAAoBAAAPAAAAAAAA&#10;AAEAIAAAACIAAABkcnMvZG93bnJldi54bWxQSwECFAAUAAAACACHTuJAZiSkDRACAAAsBAAADgAA&#10;AAAAAAABACAAAAApAQAAZHJzL2Uyb0RvYy54bWxQSwUGAAAAAAYABgBZAQAAqwUAAAAA&#10;">
                <v:fill on="t" focussize="0,0"/>
                <v:stroke on="f"/>
                <v:imagedata o:title=""/>
                <o:lock v:ext="edit" aspectratio="f"/>
                <v:textbox inset="0mm,0mm,0mm,0mm">
                  <w:txbxContent>
                    <w:p w14:paraId="4E2E1465">
                      <w:pPr>
                        <w:pStyle w:val="19"/>
                        <w:rPr>
                          <w:rFonts w:cs="黑体"/>
                        </w:rPr>
                      </w:pPr>
                      <w:r>
                        <w:rPr>
                          <w:rFonts w:cs="黑体"/>
                        </w:rPr>
                        <w:t xml:space="preserve">ICS </w:t>
                      </w:r>
                      <w:r>
                        <w:rPr>
                          <w:rFonts w:hint="eastAsia" w:cs="黑体"/>
                        </w:rPr>
                        <w:t>03</w:t>
                      </w:r>
                      <w:r>
                        <w:rPr>
                          <w:rFonts w:cs="黑体"/>
                        </w:rPr>
                        <w:t>.</w:t>
                      </w:r>
                      <w:r>
                        <w:rPr>
                          <w:rFonts w:hint="eastAsia" w:cs="黑体"/>
                        </w:rPr>
                        <w:t>120</w:t>
                      </w:r>
                      <w:r>
                        <w:rPr>
                          <w:rFonts w:cs="黑体"/>
                        </w:rPr>
                        <w:t>.</w:t>
                      </w:r>
                      <w:r>
                        <w:rPr>
                          <w:rFonts w:hint="eastAsia" w:cs="黑体"/>
                        </w:rPr>
                        <w:t>20</w:t>
                      </w:r>
                    </w:p>
                    <w:p w14:paraId="0FCFF286">
                      <w:pPr>
                        <w:pStyle w:val="19"/>
                        <w:rPr>
                          <w:rFonts w:cs="黑体"/>
                        </w:rPr>
                      </w:pPr>
                      <w:r>
                        <w:rPr>
                          <w:rFonts w:cs="黑体"/>
                        </w:rPr>
                        <w:t>A</w:t>
                      </w:r>
                      <w:r>
                        <w:rPr>
                          <w:rFonts w:hint="eastAsia" w:cs="黑体"/>
                        </w:rPr>
                        <w:t xml:space="preserve"> </w:t>
                      </w:r>
                      <w:r>
                        <w:rPr>
                          <w:rFonts w:cs="黑体"/>
                        </w:rPr>
                        <w:t>00</w:t>
                      </w:r>
                    </w:p>
                    <w:p w14:paraId="2D2747DC">
                      <w:pPr>
                        <w:pStyle w:val="19"/>
                        <w:rPr>
                          <w:rFonts w:hint="eastAsia" w:eastAsia="黑体" w:cs="黑体"/>
                          <w:lang w:eastAsia="zh-CN"/>
                        </w:rPr>
                      </w:pPr>
                      <w:r>
                        <w:rPr>
                          <w:rFonts w:hint="eastAsia" w:cs="黑体"/>
                        </w:rPr>
                        <w:t>备案号：</w:t>
                      </w:r>
                    </w:p>
                    <w:p w14:paraId="361AEC4C">
                      <w:pPr>
                        <w:pStyle w:val="19"/>
                      </w:pPr>
                    </w:p>
                  </w:txbxContent>
                </v:textbox>
                <w10:anchorlock/>
              </v:shape>
            </w:pict>
          </mc:Fallback>
        </mc:AlternateContent>
      </w:r>
    </w:p>
    <w:p w14:paraId="72A17C20">
      <w:pPr>
        <w:pageBreakBefore w:val="0"/>
        <w:kinsoku/>
        <w:wordWrap/>
        <w:overflowPunct/>
        <w:topLinePunct w:val="0"/>
        <w:bidi w:val="0"/>
        <w:adjustRightInd/>
        <w:spacing w:before="157" w:beforeLines="50" w:after="157" w:afterLines="50"/>
        <w:jc w:val="left"/>
        <w:rPr>
          <w:rFonts w:ascii="宋体" w:hAnsi="宋体"/>
          <w:bCs/>
          <w:color w:val="000000"/>
          <w:sz w:val="32"/>
          <w:szCs w:val="32"/>
          <w:highlight w:val="none"/>
        </w:rPr>
      </w:pPr>
    </w:p>
    <w:p w14:paraId="4DAC061A">
      <w:pPr>
        <w:pageBreakBefore w:val="0"/>
        <w:kinsoku/>
        <w:wordWrap/>
        <w:overflowPunct/>
        <w:topLinePunct w:val="0"/>
        <w:bidi w:val="0"/>
        <w:adjustRightInd/>
        <w:spacing w:before="157" w:beforeLines="50" w:after="157" w:afterLines="50"/>
        <w:jc w:val="left"/>
        <w:rPr>
          <w:rFonts w:ascii="宋体" w:hAnsi="宋体"/>
          <w:bCs/>
          <w:color w:val="000000"/>
          <w:sz w:val="32"/>
          <w:szCs w:val="32"/>
          <w:highlight w:val="none"/>
        </w:rPr>
      </w:pPr>
      <w:r>
        <w:rPr>
          <w:rFonts w:ascii="宋体" w:hAnsi="宋体"/>
          <w:bCs/>
          <w:color w:val="000000"/>
          <w:sz w:val="32"/>
          <w:szCs w:val="32"/>
          <w:highlight w:val="none"/>
        </w:rPr>
        <mc:AlternateContent>
          <mc:Choice Requires="wps">
            <w:drawing>
              <wp:anchor distT="0" distB="0" distL="114300" distR="114300" simplePos="0" relativeHeight="251659264" behindDoc="0" locked="1" layoutInCell="1" allowOverlap="1">
                <wp:simplePos x="0" y="0"/>
                <wp:positionH relativeFrom="margin">
                  <wp:posOffset>2696845</wp:posOffset>
                </wp:positionH>
                <wp:positionV relativeFrom="margin">
                  <wp:posOffset>-250825</wp:posOffset>
                </wp:positionV>
                <wp:extent cx="3232150" cy="588010"/>
                <wp:effectExtent l="0" t="0" r="13970" b="6350"/>
                <wp:wrapNone/>
                <wp:docPr id="1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232150" cy="588010"/>
                        </a:xfrm>
                        <a:prstGeom prst="rect">
                          <a:avLst/>
                        </a:prstGeom>
                        <a:solidFill>
                          <a:srgbClr val="FFFFFF"/>
                        </a:solidFill>
                        <a:ln>
                          <a:noFill/>
                        </a:ln>
                      </wps:spPr>
                      <wps:txbx>
                        <w:txbxContent>
                          <w:p w14:paraId="1BA1F86A">
                            <w:pPr>
                              <w:pStyle w:val="19"/>
                              <w:rPr>
                                <w:rFonts w:ascii="Times New Roman" w:eastAsia="楷体_GB2312"/>
                                <w:spacing w:val="2"/>
                                <w:position w:val="6"/>
                                <w:sz w:val="72"/>
                                <w:szCs w:val="72"/>
                              </w:rPr>
                            </w:pPr>
                            <w:r>
                              <w:rPr>
                                <w:rFonts w:hint="eastAsia" w:ascii="Times New Roman" w:eastAsia="楷体_GB2312"/>
                                <w:spacing w:val="2"/>
                                <w:position w:val="6"/>
                                <w:sz w:val="72"/>
                                <w:szCs w:val="72"/>
                              </w:rPr>
                              <w:t>T/ZGXCFZXH</w:t>
                            </w:r>
                            <w:r>
                              <w:rPr>
                                <w:rFonts w:ascii="Times New Roman" w:eastAsia="楷体_GB2312"/>
                                <w:spacing w:val="2"/>
                                <w:position w:val="6"/>
                                <w:sz w:val="72"/>
                                <w:szCs w:val="72"/>
                              </w:rPr>
                              <w:t>B</w:t>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212.35pt;margin-top:-19.75pt;height:46.3pt;width:254.5pt;mso-position-horizontal-relative:margin;mso-position-vertical-relative:margin;z-index:251659264;mso-width-relative:page;mso-height-relative:page;" fillcolor="#FFFFFF" filled="t" stroked="f" coordsize="21600,21600" o:gfxdata="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Uvke2gAAAAoBAAAPAAAAAAAA&#10;AAEAIAAAACIAAABkcnMvZG93bnJldi54bWxQSwECFAAUAAAACACHTuJAlzgVJhACAAAuBAAADgAA&#10;AAAAAAABACAAAAApAQAAZHJzL2Uyb0RvYy54bWxQSwUGAAAAAAYABgBZAQAAqwUAAAAA&#10;">
                <v:fill on="t" focussize="0,0"/>
                <v:stroke on="f"/>
                <v:imagedata o:title=""/>
                <o:lock v:ext="edit" aspectratio="f"/>
                <v:textbox inset="0mm,0mm,0mm,0mm">
                  <w:txbxContent>
                    <w:p w14:paraId="1BA1F86A">
                      <w:pPr>
                        <w:pStyle w:val="19"/>
                        <w:rPr>
                          <w:rFonts w:ascii="Times New Roman" w:eastAsia="楷体_GB2312"/>
                          <w:spacing w:val="2"/>
                          <w:position w:val="6"/>
                          <w:sz w:val="72"/>
                          <w:szCs w:val="72"/>
                        </w:rPr>
                      </w:pPr>
                      <w:r>
                        <w:rPr>
                          <w:rFonts w:hint="eastAsia" w:ascii="Times New Roman" w:eastAsia="楷体_GB2312"/>
                          <w:spacing w:val="2"/>
                          <w:position w:val="6"/>
                          <w:sz w:val="72"/>
                          <w:szCs w:val="72"/>
                        </w:rPr>
                        <w:t>T/ZGXCFZXH</w:t>
                      </w:r>
                      <w:r>
                        <w:rPr>
                          <w:rFonts w:ascii="Times New Roman" w:eastAsia="楷体_GB2312"/>
                          <w:spacing w:val="2"/>
                          <w:position w:val="6"/>
                          <w:sz w:val="72"/>
                          <w:szCs w:val="72"/>
                        </w:rPr>
                        <w:t>B</w:t>
                      </w:r>
                    </w:p>
                  </w:txbxContent>
                </v:textbox>
                <w10:anchorlock/>
              </v:shape>
            </w:pict>
          </mc:Fallback>
        </mc:AlternateContent>
      </w:r>
      <w:r>
        <w:rPr>
          <w:rFonts w:ascii="宋体" w:hAnsi="宋体"/>
          <w:bCs/>
          <w:color w:val="000000"/>
          <w:sz w:val="32"/>
          <w:szCs w:val="32"/>
          <w:highlight w:val="none"/>
        </w:rPr>
        <mc:AlternateContent>
          <mc:Choice Requires="wps">
            <w:drawing>
              <wp:anchor distT="0" distB="0" distL="114300" distR="114300" simplePos="0" relativeHeight="251660288" behindDoc="0" locked="1" layoutInCell="1" allowOverlap="1">
                <wp:simplePos x="0" y="0"/>
                <wp:positionH relativeFrom="margin">
                  <wp:posOffset>-243205</wp:posOffset>
                </wp:positionH>
                <wp:positionV relativeFrom="margin">
                  <wp:posOffset>456565</wp:posOffset>
                </wp:positionV>
                <wp:extent cx="6120130" cy="391160"/>
                <wp:effectExtent l="0" t="0" r="6350" b="5080"/>
                <wp:wrapNone/>
                <wp:docPr id="11"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0EFC3CBD">
                            <w:pPr>
                              <w:pStyle w:val="20"/>
                              <w:rPr>
                                <w:spacing w:val="0"/>
                                <w:w w:val="120"/>
                                <w:szCs w:val="48"/>
                              </w:rPr>
                            </w:pPr>
                            <w:r>
                              <w:rPr>
                                <w:rFonts w:hint="eastAsia"/>
                                <w:spacing w:val="0"/>
                                <w:w w:val="120"/>
                                <w:szCs w:val="48"/>
                                <w:lang w:val="en-US" w:eastAsia="zh-CN"/>
                              </w:rPr>
                              <w:t>中国乡村发展协会团体</w:t>
                            </w:r>
                            <w:r>
                              <w:rPr>
                                <w:rFonts w:hint="eastAsia"/>
                                <w:spacing w:val="0"/>
                                <w:w w:val="120"/>
                                <w:szCs w:val="48"/>
                              </w:rPr>
                              <w:t>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19.15pt;margin-top:35.95pt;height:30.8pt;width:481.9pt;mso-position-horizontal-relative:margin;mso-position-vertical-relative:margin;z-index:251660288;mso-width-relative:page;mso-height-relative:page;" fillcolor="#FFFFFF" filled="t" stroked="f" coordsize="21600,21600" o:gfxdata="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833toAAAAKAQAADwAAAAAAAAAB&#10;ACAAAAAiAAAAZHJzL2Rvd25yZXYueG1sUEsBAhQAFAAAAAgAh07iQL3j9esOAgAALAQAAA4AAAAA&#10;AAAAAQAgAAAAKQEAAGRycy9lMm9Eb2MueG1sUEsFBgAAAAAGAAYAWQEAAKkFAAAAAA==&#10;">
                <v:fill on="t" focussize="0,0"/>
                <v:stroke on="f"/>
                <v:imagedata o:title=""/>
                <o:lock v:ext="edit" aspectratio="f"/>
                <v:textbox inset="0mm,0mm,0mm,0mm">
                  <w:txbxContent>
                    <w:p w14:paraId="0EFC3CBD">
                      <w:pPr>
                        <w:pStyle w:val="20"/>
                        <w:rPr>
                          <w:spacing w:val="0"/>
                          <w:w w:val="120"/>
                          <w:szCs w:val="48"/>
                        </w:rPr>
                      </w:pPr>
                      <w:r>
                        <w:rPr>
                          <w:rFonts w:hint="eastAsia"/>
                          <w:spacing w:val="0"/>
                          <w:w w:val="120"/>
                          <w:szCs w:val="48"/>
                          <w:lang w:val="en-US" w:eastAsia="zh-CN"/>
                        </w:rPr>
                        <w:t>中国乡村发展协会团体</w:t>
                      </w:r>
                      <w:r>
                        <w:rPr>
                          <w:rFonts w:hint="eastAsia"/>
                          <w:spacing w:val="0"/>
                          <w:w w:val="120"/>
                          <w:szCs w:val="48"/>
                        </w:rPr>
                        <w:t>标准</w:t>
                      </w:r>
                    </w:p>
                  </w:txbxContent>
                </v:textbox>
                <w10:anchorlock/>
              </v:shape>
            </w:pict>
          </mc:Fallback>
        </mc:AlternateContent>
      </w:r>
      <w:r>
        <w:rPr>
          <w:rFonts w:ascii="宋体" w:hAnsi="宋体"/>
          <w:bCs/>
          <w:color w:val="000000"/>
          <w:sz w:val="32"/>
          <w:szCs w:val="32"/>
          <w:highlight w:val="none"/>
        </w:rPr>
        <mc:AlternateContent>
          <mc:Choice Requires="wps">
            <w:drawing>
              <wp:anchor distT="0" distB="0" distL="114300" distR="114300" simplePos="0" relativeHeight="251661312" behindDoc="0" locked="1" layoutInCell="1" allowOverlap="1">
                <wp:simplePos x="0" y="0"/>
                <wp:positionH relativeFrom="margin">
                  <wp:posOffset>-243205</wp:posOffset>
                </wp:positionH>
                <wp:positionV relativeFrom="margin">
                  <wp:posOffset>847090</wp:posOffset>
                </wp:positionV>
                <wp:extent cx="6098540" cy="860425"/>
                <wp:effectExtent l="0" t="0" r="10160" b="3175"/>
                <wp:wrapNone/>
                <wp:docPr id="10" name="fmFrame3"/>
                <wp:cNvGraphicFramePr/>
                <a:graphic xmlns:a="http://schemas.openxmlformats.org/drawingml/2006/main">
                  <a:graphicData uri="http://schemas.microsoft.com/office/word/2010/wordprocessingShape">
                    <wps:wsp>
                      <wps:cNvSpPr txBox="1">
                        <a:spLocks noChangeArrowheads="1"/>
                      </wps:cNvSpPr>
                      <wps:spPr bwMode="auto">
                        <a:xfrm>
                          <a:off x="0" y="0"/>
                          <a:ext cx="6098540" cy="860425"/>
                        </a:xfrm>
                        <a:prstGeom prst="rect">
                          <a:avLst/>
                        </a:prstGeom>
                        <a:solidFill>
                          <a:srgbClr val="FFFFFF"/>
                        </a:solidFill>
                        <a:ln>
                          <a:noFill/>
                        </a:ln>
                      </wps:spPr>
                      <wps:txbx>
                        <w:txbxContent>
                          <w:p w14:paraId="7141BB9D">
                            <w:pPr>
                              <w:pStyle w:val="21"/>
                              <w:spacing w:before="156" w:after="156"/>
                              <w:rPr>
                                <w:rFonts w:hint="default" w:ascii="黑体" w:hAnsi="黑体" w:eastAsia="黑体"/>
                                <w:lang w:val="en-US" w:eastAsia="zh-CN"/>
                              </w:rPr>
                            </w:pPr>
                            <w:r>
                              <w:rPr>
                                <w:rFonts w:ascii="黑体" w:hAnsi="黑体" w:eastAsia="黑体"/>
                              </w:rPr>
                              <w:t>T</w:t>
                            </w:r>
                            <w:r>
                              <w:rPr>
                                <w:rFonts w:hint="eastAsia" w:ascii="黑体" w:hAnsi="黑体" w:eastAsia="黑体"/>
                              </w:rPr>
                              <w:t>/ZGXCFZXH</w:t>
                            </w:r>
                            <w:r>
                              <w:rPr>
                                <w:rFonts w:ascii="黑体" w:hAnsi="黑体" w:eastAsia="黑体"/>
                              </w:rPr>
                              <w:t xml:space="preserve"> </w:t>
                            </w:r>
                            <w:r>
                              <w:rPr>
                                <w:rFonts w:hint="eastAsia" w:ascii="黑体" w:hAnsi="黑体" w:eastAsia="黑体"/>
                                <w:lang w:val="en-US" w:eastAsia="zh-CN"/>
                              </w:rPr>
                              <w:t>0001</w:t>
                            </w:r>
                            <w:r>
                              <w:rPr>
                                <w:rFonts w:hint="eastAsia" w:ascii="黑体" w:hAnsi="黑体" w:eastAsia="黑体"/>
                                <w:highlight w:val="none"/>
                                <w:lang w:val="en-US" w:eastAsia="zh-CN"/>
                              </w:rPr>
                              <w:t>.26</w:t>
                            </w:r>
                            <w:r>
                              <w:rPr>
                                <w:rFonts w:hint="eastAsia" w:ascii="黑体" w:hAnsi="黑体" w:eastAsia="黑体"/>
                                <w:lang w:val="en-US" w:eastAsia="zh-CN"/>
                              </w:rPr>
                              <w:t>-2024</w:t>
                            </w:r>
                          </w:p>
                          <w:p w14:paraId="1C25311F">
                            <w:pPr>
                              <w:pStyle w:val="21"/>
                              <w:rPr>
                                <w:rFonts w:ascii="黑体" w:hAnsi="黑体" w:eastAsia="黑体"/>
                              </w:rPr>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19.15pt;margin-top:66.7pt;height:67.75pt;width:480.2pt;mso-position-horizontal-relative:margin;mso-position-vertical-relative:margin;z-index:251661312;mso-width-relative:page;mso-height-relative:page;" fillcolor="#FFFFFF" filled="t" stroked="f" coordsize="21600,21600" o:gfxdata="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CFBpUR2gAAAAsBAAAPAAAAAAAA&#10;AAEAIAAAACIAAABkcnMvZG93bnJldi54bWxQSwECFAAUAAAACACHTuJARvMC2xACAAAsBAAADgAA&#10;AAAAAAABACAAAAApAQAAZHJzL2Uyb0RvYy54bWxQSwUGAAAAAAYABgBZAQAAqwUAAAAA&#10;">
                <v:fill on="t" focussize="0,0"/>
                <v:stroke on="f"/>
                <v:imagedata o:title=""/>
                <o:lock v:ext="edit" aspectratio="f"/>
                <v:textbox inset="0mm,0mm,0mm,0mm">
                  <w:txbxContent>
                    <w:p w14:paraId="7141BB9D">
                      <w:pPr>
                        <w:pStyle w:val="21"/>
                        <w:spacing w:before="156" w:after="156"/>
                        <w:rPr>
                          <w:rFonts w:hint="default" w:ascii="黑体" w:hAnsi="黑体" w:eastAsia="黑体"/>
                          <w:lang w:val="en-US" w:eastAsia="zh-CN"/>
                        </w:rPr>
                      </w:pPr>
                      <w:r>
                        <w:rPr>
                          <w:rFonts w:ascii="黑体" w:hAnsi="黑体" w:eastAsia="黑体"/>
                        </w:rPr>
                        <w:t>T</w:t>
                      </w:r>
                      <w:r>
                        <w:rPr>
                          <w:rFonts w:hint="eastAsia" w:ascii="黑体" w:hAnsi="黑体" w:eastAsia="黑体"/>
                        </w:rPr>
                        <w:t>/ZGXCFZXH</w:t>
                      </w:r>
                      <w:r>
                        <w:rPr>
                          <w:rFonts w:ascii="黑体" w:hAnsi="黑体" w:eastAsia="黑体"/>
                        </w:rPr>
                        <w:t xml:space="preserve"> </w:t>
                      </w:r>
                      <w:r>
                        <w:rPr>
                          <w:rFonts w:hint="eastAsia" w:ascii="黑体" w:hAnsi="黑体" w:eastAsia="黑体"/>
                          <w:lang w:val="en-US" w:eastAsia="zh-CN"/>
                        </w:rPr>
                        <w:t>0001</w:t>
                      </w:r>
                      <w:r>
                        <w:rPr>
                          <w:rFonts w:hint="eastAsia" w:ascii="黑体" w:hAnsi="黑体" w:eastAsia="黑体"/>
                          <w:highlight w:val="none"/>
                          <w:lang w:val="en-US" w:eastAsia="zh-CN"/>
                        </w:rPr>
                        <w:t>.26</w:t>
                      </w:r>
                      <w:r>
                        <w:rPr>
                          <w:rFonts w:hint="eastAsia" w:ascii="黑体" w:hAnsi="黑体" w:eastAsia="黑体"/>
                          <w:lang w:val="en-US" w:eastAsia="zh-CN"/>
                        </w:rPr>
                        <w:t>-2024</w:t>
                      </w:r>
                    </w:p>
                    <w:p w14:paraId="1C25311F">
                      <w:pPr>
                        <w:pStyle w:val="21"/>
                        <w:rPr>
                          <w:rFonts w:ascii="黑体" w:hAnsi="黑体" w:eastAsia="黑体"/>
                        </w:rPr>
                      </w:pPr>
                    </w:p>
                  </w:txbxContent>
                </v:textbox>
                <w10:anchorlock/>
              </v:shape>
            </w:pict>
          </mc:Fallback>
        </mc:AlternateContent>
      </w:r>
    </w:p>
    <w:p w14:paraId="22046355">
      <w:pPr>
        <w:pageBreakBefore w:val="0"/>
        <w:kinsoku/>
        <w:wordWrap/>
        <w:overflowPunct/>
        <w:topLinePunct w:val="0"/>
        <w:bidi w:val="0"/>
        <w:adjustRightInd/>
        <w:spacing w:before="2268" w:beforeLines="0" w:after="567" w:afterLines="0"/>
        <w:jc w:val="center"/>
        <w:rPr>
          <w:rFonts w:hint="default" w:ascii="黑体" w:hAnsi="黑体" w:eastAsia="黑体"/>
          <w:bCs/>
          <w:color w:val="000000"/>
          <w:sz w:val="52"/>
          <w:szCs w:val="52"/>
          <w:highlight w:val="none"/>
          <w:lang w:val="en-US" w:eastAsia="zh-CN"/>
        </w:rPr>
      </w:pPr>
      <w:r>
        <w:rPr>
          <w:rFonts w:hint="eastAsia" w:ascii="黑体" w:hAnsi="黑体" w:eastAsia="黑体"/>
          <w:bCs/>
          <w:color w:val="000000"/>
          <w:sz w:val="52"/>
          <w:szCs w:val="52"/>
          <w:highlight w:val="none"/>
        </w:rPr>
        <mc:AlternateContent>
          <mc:Choice Requires="wps">
            <w:drawing>
              <wp:anchor distT="0" distB="0" distL="114300" distR="114300" simplePos="0" relativeHeight="251662336" behindDoc="0" locked="0" layoutInCell="1" allowOverlap="1">
                <wp:simplePos x="0" y="0"/>
                <wp:positionH relativeFrom="column">
                  <wp:posOffset>-290830</wp:posOffset>
                </wp:positionH>
                <wp:positionV relativeFrom="paragraph">
                  <wp:posOffset>24130</wp:posOffset>
                </wp:positionV>
                <wp:extent cx="6120130" cy="0"/>
                <wp:effectExtent l="0" t="4445" r="0" b="5080"/>
                <wp:wrapNone/>
                <wp:docPr id="12" name="AutoShape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ln>
                      </wps:spPr>
                      <wps:bodyPr/>
                    </wps:wsp>
                  </a:graphicData>
                </a:graphic>
              </wp:anchor>
            </w:drawing>
          </mc:Choice>
          <mc:Fallback>
            <w:pict>
              <v:shape id="AutoShape 6" o:spid="_x0000_s1026" o:spt="32" type="#_x0000_t32" style="position:absolute;left:0pt;margin-left:-22.9pt;margin-top:1.9pt;height:0pt;width:481.9pt;z-index:251662336;mso-width-relative:page;mso-height-relative:page;" filled="f" stroked="t" coordsize="21600,21600" o:gfxdata="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s5sSB9UAAAAHAQAADwAAAAAAAAABACAAAAAi&#10;AAAAZHJzL2Rvd25yZXYueG1sUEsBAhQAFAAAAAgAh07iQF92Of3UAQAAswMAAA4AAAAAAAAAAQAg&#10;AAAAJAEAAGRycy9lMm9Eb2MueG1sUEsFBgAAAAAGAAYAWQEAAGoFAAAAAA==&#10;">
                <v:fill on="f" focussize="0,0"/>
                <v:stroke color="#000000" joinstyle="round"/>
                <v:imagedata o:title=""/>
                <o:lock v:ext="edit" aspectratio="f"/>
              </v:shape>
            </w:pict>
          </mc:Fallback>
        </mc:AlternateContent>
      </w:r>
      <w:r>
        <w:rPr>
          <w:rFonts w:hint="eastAsia" w:ascii="黑体" w:hAnsi="黑体" w:eastAsia="黑体"/>
          <w:bCs/>
          <w:color w:val="000000"/>
          <w:sz w:val="52"/>
          <w:szCs w:val="52"/>
          <w:highlight w:val="none"/>
          <w:lang w:val="en-US" w:eastAsia="zh-CN"/>
        </w:rPr>
        <w:t>道地</w:t>
      </w:r>
      <w:r>
        <w:rPr>
          <w:rFonts w:hint="eastAsia" w:ascii="黑体" w:hAnsi="黑体" w:eastAsia="黑体"/>
          <w:bCs/>
          <w:color w:val="000000"/>
          <w:sz w:val="52"/>
          <w:szCs w:val="52"/>
          <w:highlight w:val="none"/>
        </w:rPr>
        <w:t>药材集采交易标准</w:t>
      </w:r>
      <w:r>
        <w:rPr>
          <w:rFonts w:hint="eastAsia" w:ascii="黑体" w:hAnsi="黑体" w:eastAsia="黑体"/>
          <w:bCs/>
          <w:color w:val="000000"/>
          <w:sz w:val="52"/>
          <w:szCs w:val="52"/>
          <w:highlight w:val="none"/>
          <w:lang w:val="en-US" w:eastAsia="zh-CN"/>
        </w:rPr>
        <w:t xml:space="preserve"> 霍山石斛</w:t>
      </w:r>
    </w:p>
    <w:p w14:paraId="00838E03">
      <w:pPr>
        <w:pStyle w:val="11"/>
        <w:keepNext w:val="0"/>
        <w:keepLines w:val="0"/>
        <w:widowControl/>
        <w:suppressLineNumbers w:val="0"/>
        <w:spacing w:before="157" w:beforeLines="50" w:beforeAutospacing="0" w:after="157" w:afterLines="50" w:afterAutospacing="0" w:line="368" w:lineRule="atLeast"/>
        <w:ind w:left="0" w:right="-304" w:rightChars="-145"/>
        <w:jc w:val="center"/>
        <w:rPr>
          <w:rFonts w:hint="eastAsia" w:ascii="黑体" w:hAnsi="黑体" w:eastAsia="黑体" w:cs="黑体"/>
          <w:i w:val="0"/>
          <w:iCs w:val="0"/>
          <w:caps w:val="0"/>
          <w:color w:val="000000"/>
          <w:spacing w:val="10"/>
          <w:sz w:val="28"/>
          <w:szCs w:val="28"/>
          <w:lang w:eastAsia="zh-CN"/>
        </w:rPr>
      </w:pPr>
      <w:r>
        <w:rPr>
          <w:rFonts w:hint="eastAsia" w:ascii="黑体" w:hAnsi="黑体" w:eastAsia="黑体" w:cs="黑体"/>
          <w:i w:val="0"/>
          <w:iCs w:val="0"/>
          <w:caps w:val="0"/>
          <w:color w:val="000000" w:themeColor="text1"/>
          <w:spacing w:val="10"/>
          <w:sz w:val="28"/>
          <w:szCs w:val="28"/>
          <w14:textFill>
            <w14:solidFill>
              <w14:schemeClr w14:val="tx1"/>
            </w14:solidFill>
          </w14:textFill>
        </w:rPr>
        <w:t xml:space="preserve">Centralized procurement standard </w:t>
      </w:r>
      <w:r>
        <w:rPr>
          <w:rFonts w:hint="eastAsia" w:ascii="黑体" w:hAnsi="黑体" w:eastAsia="黑体" w:cs="黑体"/>
          <w:i w:val="0"/>
          <w:iCs w:val="0"/>
          <w:caps w:val="0"/>
          <w:color w:val="000000" w:themeColor="text1"/>
          <w:spacing w:val="10"/>
          <w:sz w:val="28"/>
          <w:szCs w:val="28"/>
          <w:lang w:val="en-US" w:eastAsia="zh-CN"/>
          <w14:textFill>
            <w14:solidFill>
              <w14:schemeClr w14:val="tx1"/>
            </w14:solidFill>
          </w14:textFill>
        </w:rPr>
        <w:t xml:space="preserve">for </w:t>
      </w:r>
      <w:r>
        <w:rPr>
          <w:rFonts w:hint="eastAsia" w:ascii="黑体" w:hAnsi="黑体" w:eastAsia="黑体" w:cs="黑体"/>
          <w:bCs/>
          <w:color w:val="000000"/>
          <w:sz w:val="28"/>
          <w:szCs w:val="28"/>
          <w:lang w:val="en-US" w:eastAsia="zh-CN"/>
        </w:rPr>
        <w:t>genuine regional</w:t>
      </w:r>
      <w:r>
        <w:rPr>
          <w:rFonts w:hint="eastAsia" w:ascii="黑体" w:hAnsi="黑体" w:eastAsia="黑体" w:cs="黑体"/>
          <w:bCs/>
          <w:color w:val="000000"/>
          <w:sz w:val="28"/>
          <w:szCs w:val="28"/>
        </w:rPr>
        <w:t xml:space="preserve"> materia medica</w:t>
      </w:r>
    </w:p>
    <w:p w14:paraId="56F49AD3">
      <w:pPr>
        <w:pStyle w:val="11"/>
        <w:keepNext w:val="0"/>
        <w:keepLines w:val="0"/>
        <w:widowControl/>
        <w:suppressLineNumbers w:val="0"/>
        <w:spacing w:before="157" w:beforeLines="50" w:beforeAutospacing="0" w:after="157" w:afterLines="50" w:afterAutospacing="0" w:line="368" w:lineRule="atLeast"/>
        <w:ind w:left="0" w:right="0"/>
        <w:jc w:val="center"/>
        <w:rPr>
          <w:rFonts w:hint="eastAsia" w:ascii="黑体" w:hAnsi="黑体" w:eastAsia="黑体" w:cs="黑体"/>
          <w:sz w:val="28"/>
          <w:szCs w:val="28"/>
        </w:rPr>
      </w:pPr>
      <w:r>
        <w:rPr>
          <w:rFonts w:hint="eastAsia" w:ascii="黑体" w:hAnsi="黑体" w:eastAsia="黑体" w:cs="黑体"/>
          <w:color w:val="000000"/>
          <w:spacing w:val="10"/>
          <w:sz w:val="28"/>
          <w:szCs w:val="28"/>
        </w:rPr>
        <w:t>DENDROBII CAULIS</w:t>
      </w:r>
    </w:p>
    <w:p w14:paraId="369B1309">
      <w:pPr>
        <w:spacing w:before="312" w:beforeLines="100" w:after="312" w:afterLines="100"/>
        <w:jc w:val="center"/>
        <w:rPr>
          <w:rFonts w:hint="eastAsia" w:ascii="黑体" w:hAnsi="黑体" w:eastAsia="黑体" w:cs="黑体"/>
          <w:bCs/>
          <w:color w:val="000000"/>
          <w:sz w:val="28"/>
          <w:szCs w:val="28"/>
          <w:lang w:eastAsia="zh-CN"/>
        </w:rPr>
      </w:pPr>
      <w:r>
        <w:rPr>
          <w:rFonts w:hint="eastAsia" w:ascii="黑体" w:hAnsi="黑体" w:eastAsia="黑体" w:cs="黑体"/>
          <w:bCs/>
          <w:color w:val="000000"/>
          <w:sz w:val="28"/>
          <w:szCs w:val="28"/>
          <w:lang w:eastAsia="zh-CN"/>
        </w:rPr>
        <w:t>（</w:t>
      </w:r>
      <w:r>
        <w:rPr>
          <w:rFonts w:hint="eastAsia" w:ascii="黑体" w:hAnsi="黑体" w:eastAsia="黑体" w:cs="黑体"/>
          <w:bCs/>
          <w:color w:val="000000"/>
          <w:sz w:val="28"/>
          <w:szCs w:val="28"/>
          <w:lang w:val="en-US" w:eastAsia="zh-CN"/>
        </w:rPr>
        <w:t>征求意见稿</w:t>
      </w:r>
      <w:r>
        <w:rPr>
          <w:rFonts w:hint="eastAsia" w:ascii="黑体" w:hAnsi="黑体" w:eastAsia="黑体" w:cs="黑体"/>
          <w:bCs/>
          <w:color w:val="000000"/>
          <w:sz w:val="28"/>
          <w:szCs w:val="28"/>
          <w:lang w:eastAsia="zh-CN"/>
        </w:rPr>
        <w:t>）</w:t>
      </w:r>
    </w:p>
    <w:p w14:paraId="0AF680DC">
      <w:pPr>
        <w:pageBreakBefore w:val="0"/>
        <w:kinsoku/>
        <w:wordWrap/>
        <w:overflowPunct/>
        <w:topLinePunct w:val="0"/>
        <w:bidi w:val="0"/>
        <w:adjustRightInd/>
        <w:spacing w:before="157" w:beforeLines="50" w:after="157" w:afterLines="50"/>
        <w:jc w:val="center"/>
        <w:rPr>
          <w:rFonts w:ascii="Times New Roman" w:hAnsi="Times New Roman" w:eastAsia="黑体"/>
          <w:bCs/>
          <w:sz w:val="28"/>
          <w:szCs w:val="28"/>
          <w:highlight w:val="none"/>
        </w:rPr>
      </w:pPr>
      <w:bookmarkStart w:id="105" w:name="_GoBack"/>
      <w:bookmarkEnd w:id="105"/>
      <w:r>
        <w:rPr>
          <w:rFonts w:ascii="Times New Roman" w:hAnsi="Times New Roman" w:eastAsia="黑体"/>
          <w:bCs/>
          <w:sz w:val="28"/>
          <w:szCs w:val="28"/>
          <w:highlight w:val="none"/>
        </w:rPr>
        <w:t xml:space="preserve"> </w:t>
      </w:r>
    </w:p>
    <w:p w14:paraId="26670852">
      <w:pPr>
        <w:pageBreakBefore w:val="0"/>
        <w:kinsoku/>
        <w:wordWrap/>
        <w:overflowPunct/>
        <w:topLinePunct w:val="0"/>
        <w:bidi w:val="0"/>
        <w:adjustRightInd/>
        <w:spacing w:before="157" w:beforeLines="50" w:after="157" w:afterLines="50"/>
        <w:jc w:val="center"/>
        <w:rPr>
          <w:rFonts w:ascii="宋体" w:hAnsi="宋体"/>
          <w:bCs/>
          <w:color w:val="FF0000"/>
          <w:sz w:val="24"/>
          <w:highlight w:val="none"/>
        </w:rPr>
      </w:pPr>
    </w:p>
    <w:p w14:paraId="435FF46E">
      <w:pPr>
        <w:pageBreakBefore w:val="0"/>
        <w:kinsoku/>
        <w:wordWrap/>
        <w:overflowPunct/>
        <w:topLinePunct w:val="0"/>
        <w:bidi w:val="0"/>
        <w:adjustRightInd/>
        <w:spacing w:before="157" w:beforeLines="50" w:after="157" w:afterLines="50"/>
        <w:rPr>
          <w:rFonts w:ascii="宋体" w:hAnsi="宋体"/>
          <w:bCs/>
          <w:color w:val="000000"/>
          <w:sz w:val="36"/>
          <w:szCs w:val="36"/>
          <w:highlight w:val="none"/>
        </w:rPr>
      </w:pPr>
    </w:p>
    <w:p w14:paraId="29E3F7B9">
      <w:pPr>
        <w:pStyle w:val="15"/>
        <w:pageBreakBefore w:val="0"/>
        <w:framePr w:wrap="around" w:vAnchor="margin" w:yAlign="top"/>
        <w:kinsoku/>
        <w:wordWrap/>
        <w:overflowPunct/>
        <w:topLinePunct w:val="0"/>
        <w:bidi w:val="0"/>
        <w:adjustRightInd/>
        <w:spacing w:before="157" w:beforeLines="50" w:after="157" w:afterLines="50"/>
        <w:ind w:left="5250" w:right="280"/>
        <w:rPr>
          <w:color w:val="000000"/>
          <w:highlight w:val="none"/>
        </w:rPr>
      </w:pPr>
    </w:p>
    <w:p w14:paraId="257C07A4">
      <w:pPr>
        <w:pageBreakBefore w:val="0"/>
        <w:kinsoku/>
        <w:wordWrap/>
        <w:overflowPunct/>
        <w:topLinePunct w:val="0"/>
        <w:bidi w:val="0"/>
        <w:adjustRightInd/>
        <w:spacing w:before="157" w:beforeLines="50" w:after="157" w:afterLines="50"/>
        <w:rPr>
          <w:rFonts w:ascii="宋体" w:hAnsi="宋体"/>
          <w:bCs/>
          <w:color w:val="000000"/>
          <w:sz w:val="36"/>
          <w:szCs w:val="36"/>
          <w:highlight w:val="none"/>
        </w:rPr>
      </w:pPr>
      <w:r>
        <w:rPr>
          <w:rFonts w:ascii="宋体" w:hAnsi="宋体"/>
          <w:bCs/>
          <w:color w:val="000000"/>
          <w:sz w:val="36"/>
          <w:szCs w:val="36"/>
          <w:highlight w:val="none"/>
        </w:rPr>
        <mc:AlternateContent>
          <mc:Choice Requires="wps">
            <w:drawing>
              <wp:anchor distT="0" distB="0" distL="114300" distR="114300" simplePos="0" relativeHeight="251665408" behindDoc="0" locked="1" layoutInCell="1" allowOverlap="1">
                <wp:simplePos x="0" y="0"/>
                <wp:positionH relativeFrom="margin">
                  <wp:posOffset>23495</wp:posOffset>
                </wp:positionH>
                <wp:positionV relativeFrom="margin">
                  <wp:posOffset>8399145</wp:posOffset>
                </wp:positionV>
                <wp:extent cx="5535930" cy="927735"/>
                <wp:effectExtent l="0" t="0" r="11430" b="1905"/>
                <wp:wrapNone/>
                <wp:docPr id="8" name="fmFrame7" descr="文本框: 中华人民共和国国家质量监督检验检疫总局"/>
                <wp:cNvGraphicFramePr/>
                <a:graphic xmlns:a="http://schemas.openxmlformats.org/drawingml/2006/main">
                  <a:graphicData uri="http://schemas.microsoft.com/office/word/2010/wordprocessingShape">
                    <wps:wsp>
                      <wps:cNvSpPr txBox="1">
                        <a:spLocks noChangeArrowheads="1"/>
                      </wps:cNvSpPr>
                      <wps:spPr bwMode="auto">
                        <a:xfrm>
                          <a:off x="0" y="0"/>
                          <a:ext cx="5535930" cy="927735"/>
                        </a:xfrm>
                        <a:prstGeom prst="rect">
                          <a:avLst/>
                        </a:prstGeom>
                        <a:solidFill>
                          <a:srgbClr val="FFFFFF"/>
                        </a:solidFill>
                        <a:ln>
                          <a:noFill/>
                        </a:ln>
                      </wps:spPr>
                      <wps:txbx>
                        <w:txbxContent>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1276"/>
                            </w:tblGrid>
                            <w:tr w14:paraId="1BDA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2" w:hRule="atLeast"/>
                              </w:trPr>
                              <w:tc>
                                <w:tcPr>
                                  <w:tcW w:w="7196" w:type="dxa"/>
                                  <w:tcBorders>
                                    <w:top w:val="nil"/>
                                    <w:left w:val="nil"/>
                                    <w:bottom w:val="nil"/>
                                    <w:right w:val="nil"/>
                                  </w:tcBorders>
                                  <w:vAlign w:val="center"/>
                                </w:tcPr>
                                <w:p w14:paraId="7053C9F6">
                                  <w:pPr>
                                    <w:pStyle w:val="22"/>
                                    <w:rPr>
                                      <w:rFonts w:hint="eastAsia" w:ascii="黑体" w:hAnsi="黑体" w:eastAsia="黑体"/>
                                      <w:b w:val="0"/>
                                      <w:szCs w:val="28"/>
                                      <w:lang w:eastAsia="zh-CN"/>
                                    </w:rPr>
                                  </w:pPr>
                                  <w:r>
                                    <w:rPr>
                                      <w:rFonts w:hint="eastAsia" w:ascii="黑体" w:hAnsi="黑体" w:eastAsia="黑体"/>
                                      <w:b w:val="0"/>
                                      <w:szCs w:val="28"/>
                                      <w:lang w:val="en-US" w:eastAsia="zh-CN"/>
                                    </w:rPr>
                                    <w:t>中国乡村发展协会</w:t>
                                  </w:r>
                                </w:p>
                              </w:tc>
                              <w:tc>
                                <w:tcPr>
                                  <w:tcW w:w="1276" w:type="dxa"/>
                                  <w:tcBorders>
                                    <w:top w:val="nil"/>
                                    <w:left w:val="nil"/>
                                    <w:bottom w:val="nil"/>
                                    <w:right w:val="nil"/>
                                  </w:tcBorders>
                                  <w:vAlign w:val="center"/>
                                </w:tcPr>
                                <w:p w14:paraId="745CC88E">
                                  <w:pPr>
                                    <w:pStyle w:val="22"/>
                                    <w:jc w:val="left"/>
                                    <w:rPr>
                                      <w:rFonts w:ascii="黑体" w:hAnsi="黑体" w:eastAsia="黑体"/>
                                      <w:b w:val="0"/>
                                      <w:szCs w:val="28"/>
                                    </w:rPr>
                                  </w:pPr>
                                  <w:r>
                                    <w:rPr>
                                      <w:rFonts w:hint="eastAsia" w:ascii="黑体" w:hAnsi="黑体" w:eastAsia="黑体"/>
                                      <w:b w:val="0"/>
                                      <w:szCs w:val="28"/>
                                    </w:rPr>
                                    <w:t>发布</w:t>
                                  </w:r>
                                </w:p>
                              </w:tc>
                            </w:tr>
                          </w:tbl>
                          <w:p w14:paraId="42957BF9">
                            <w:pPr>
                              <w:jc w:val="left"/>
                              <w:rPr>
                                <w:sz w:val="20"/>
                                <w:szCs w:val="20"/>
                              </w:rPr>
                            </w:pPr>
                          </w:p>
                        </w:txbxContent>
                      </wps:txbx>
                      <wps:bodyPr rot="0" vert="horz" wrap="square" lIns="0" tIns="0" rIns="0" bIns="0" anchor="t" anchorCtr="0" upright="1">
                        <a:noAutofit/>
                      </wps:bodyPr>
                    </wps:wsp>
                  </a:graphicData>
                </a:graphic>
              </wp:anchor>
            </w:drawing>
          </mc:Choice>
          <mc:Fallback>
            <w:pict>
              <v:shape id="fmFrame7" o:spid="_x0000_s1026" o:spt="202" alt="文本框: 中华人民共和国国家质量监督检验检疫总局" type="#_x0000_t202" style="position:absolute;left:0pt;margin-left:1.85pt;margin-top:661.35pt;height:73.05pt;width:435.9pt;mso-position-horizontal-relative:margin;mso-position-vertical-relative:margin;z-index:251665408;mso-width-relative:page;mso-height-relative:page;" fillcolor="#FFFFFF" filled="t" stroked="f" coordsize="21600,21600" o:gfxdata="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kMs6Y2gAAAAsBAAAPAAAAAAAAAAEAIAAAACIA&#10;AABkcnMvZG93bnJldi54bWxQSwECFAAUAAAACACHTuJAyoOhZnkCAAB4BAAADgAAAAAAAAABACAA&#10;AAApAQAAZHJzL2Uyb0RvYy54bWxQSwUGAAAAAAYABgBZAQAAFAYAAAAA&#10;">
                <v:fill on="t" focussize="0,0"/>
                <v:stroke on="f"/>
                <v:imagedata o:title=""/>
                <o:lock v:ext="edit" aspectratio="f"/>
                <v:textbox inset="0mm,0mm,0mm,0mm">
                  <w:txbxContent>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1276"/>
                      </w:tblGrid>
                      <w:tr w14:paraId="1BDA2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7196" w:type="dxa"/>
                            <w:tcBorders>
                              <w:top w:val="nil"/>
                              <w:left w:val="nil"/>
                              <w:bottom w:val="nil"/>
                              <w:right w:val="nil"/>
                            </w:tcBorders>
                            <w:vAlign w:val="center"/>
                          </w:tcPr>
                          <w:p w14:paraId="7053C9F6">
                            <w:pPr>
                              <w:pStyle w:val="22"/>
                              <w:rPr>
                                <w:rFonts w:hint="eastAsia" w:ascii="黑体" w:hAnsi="黑体" w:eastAsia="黑体"/>
                                <w:b w:val="0"/>
                                <w:szCs w:val="28"/>
                                <w:lang w:eastAsia="zh-CN"/>
                              </w:rPr>
                            </w:pPr>
                            <w:r>
                              <w:rPr>
                                <w:rFonts w:hint="eastAsia" w:ascii="黑体" w:hAnsi="黑体" w:eastAsia="黑体"/>
                                <w:b w:val="0"/>
                                <w:szCs w:val="28"/>
                                <w:lang w:val="en-US" w:eastAsia="zh-CN"/>
                              </w:rPr>
                              <w:t>中国乡村发展协会</w:t>
                            </w:r>
                          </w:p>
                        </w:tc>
                        <w:tc>
                          <w:tcPr>
                            <w:tcW w:w="1276" w:type="dxa"/>
                            <w:tcBorders>
                              <w:top w:val="nil"/>
                              <w:left w:val="nil"/>
                              <w:bottom w:val="nil"/>
                              <w:right w:val="nil"/>
                            </w:tcBorders>
                            <w:vAlign w:val="center"/>
                          </w:tcPr>
                          <w:p w14:paraId="745CC88E">
                            <w:pPr>
                              <w:pStyle w:val="22"/>
                              <w:jc w:val="left"/>
                              <w:rPr>
                                <w:rFonts w:ascii="黑体" w:hAnsi="黑体" w:eastAsia="黑体"/>
                                <w:b w:val="0"/>
                                <w:szCs w:val="28"/>
                              </w:rPr>
                            </w:pPr>
                            <w:r>
                              <w:rPr>
                                <w:rFonts w:hint="eastAsia" w:ascii="黑体" w:hAnsi="黑体" w:eastAsia="黑体"/>
                                <w:b w:val="0"/>
                                <w:szCs w:val="28"/>
                              </w:rPr>
                              <w:t>发布</w:t>
                            </w:r>
                          </w:p>
                        </w:tc>
                      </w:tr>
                    </w:tbl>
                    <w:p w14:paraId="42957BF9">
                      <w:pPr>
                        <w:jc w:val="left"/>
                        <w:rPr>
                          <w:sz w:val="20"/>
                          <w:szCs w:val="20"/>
                        </w:rPr>
                      </w:pPr>
                    </w:p>
                  </w:txbxContent>
                </v:textbox>
                <w10:anchorlock/>
              </v:shape>
            </w:pict>
          </mc:Fallback>
        </mc:AlternateContent>
      </w:r>
      <w:r>
        <w:rPr>
          <w:rFonts w:ascii="宋体" w:hAnsi="宋体"/>
          <w:bCs/>
          <w:color w:val="000000"/>
          <w:sz w:val="36"/>
          <w:szCs w:val="36"/>
          <w:highlight w:val="none"/>
        </w:rPr>
        <mc:AlternateContent>
          <mc:Choice Requires="wps">
            <w:drawing>
              <wp:anchor distT="0" distB="0" distL="114300" distR="114300" simplePos="0" relativeHeight="251667456" behindDoc="0" locked="1" layoutInCell="1" allowOverlap="1">
                <wp:simplePos x="0" y="0"/>
                <wp:positionH relativeFrom="margin">
                  <wp:posOffset>4060190</wp:posOffset>
                </wp:positionH>
                <wp:positionV relativeFrom="margin">
                  <wp:posOffset>8014970</wp:posOffset>
                </wp:positionV>
                <wp:extent cx="2019300" cy="312420"/>
                <wp:effectExtent l="0" t="0" r="7620" b="7620"/>
                <wp:wrapNone/>
                <wp:docPr id="1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1B95F60A">
                            <w:pPr>
                              <w:pStyle w:val="16"/>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××实施</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319.7pt;margin-top:631.1pt;height:24.6pt;width:159pt;mso-position-horizontal-relative:margin;mso-position-vertical-relative:margin;z-index:251667456;mso-width-relative:page;mso-height-relative:page;" fillcolor="#FFFFFF" filled="t" stroked="f" coordsize="21600,21600" o:gfxdata="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y1lJNoAAAANAQAADwAAAAAAAAAB&#10;ACAAAAAiAAAAZHJzL2Rvd25yZXYueG1sUEsBAhQAFAAAAAgAh07iQHD/g4IOAgAALAQAAA4AAAAA&#10;AAAAAQAgAAAAKQEAAGRycy9lMm9Eb2MueG1sUEsFBgAAAAAGAAYAWQEAAKkFAAAAAA==&#10;">
                <v:fill on="t" focussize="0,0"/>
                <v:stroke on="f"/>
                <v:imagedata o:title=""/>
                <o:lock v:ext="edit" aspectratio="f"/>
                <v:textbox inset="0mm,0mm,0mm,0mm">
                  <w:txbxContent>
                    <w:p w14:paraId="1B95F60A">
                      <w:pPr>
                        <w:pStyle w:val="16"/>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××实施</w:t>
                      </w:r>
                    </w:p>
                  </w:txbxContent>
                </v:textbox>
                <w10:anchorlock/>
              </v:shape>
            </w:pict>
          </mc:Fallback>
        </mc:AlternateContent>
      </w:r>
      <w:r>
        <w:rPr>
          <w:rFonts w:ascii="宋体" w:hAnsi="宋体"/>
          <w:bCs/>
          <w:color w:val="000000"/>
          <w:sz w:val="36"/>
          <w:szCs w:val="36"/>
          <w:highlight w:val="none"/>
        </w:rPr>
        <mc:AlternateContent>
          <mc:Choice Requires="wps">
            <w:drawing>
              <wp:anchor distT="0" distB="0" distL="114300" distR="114300" simplePos="0" relativeHeight="251664384" behindDoc="0" locked="1" layoutInCell="1" allowOverlap="1">
                <wp:simplePos x="0" y="0"/>
                <wp:positionH relativeFrom="margin">
                  <wp:posOffset>-177800</wp:posOffset>
                </wp:positionH>
                <wp:positionV relativeFrom="margin">
                  <wp:posOffset>8009255</wp:posOffset>
                </wp:positionV>
                <wp:extent cx="2019300" cy="312420"/>
                <wp:effectExtent l="0" t="0" r="7620" b="7620"/>
                <wp:wrapNone/>
                <wp:docPr id="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7E2BF9C9">
                            <w:pPr>
                              <w:pStyle w:val="16"/>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14pt;margin-top:630.65pt;height:24.6pt;width:159pt;mso-position-horizontal-relative:margin;mso-position-vertical-relative:margin;z-index:251664384;mso-width-relative:page;mso-height-relative:page;" fillcolor="#FFFFFF" filled="t" stroked="f" coordsize="21600,21600" o:gfxdata="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xnA+xtoAAAANAQAADwAAAAAAAAAB&#10;ACAAAAAiAAAAZHJzL2Rvd25yZXYueG1sUEsBAhQAFAAAAAgAh07iQHBG+tIOAgAAKwQAAA4AAAAA&#10;AAAAAQAgAAAAKQEAAGRycy9lMm9Eb2MueG1sUEsFBgAAAAAGAAYAWQEAAKkFAAAAAA==&#10;">
                <v:fill on="t" focussize="0,0"/>
                <v:stroke on="f"/>
                <v:imagedata o:title=""/>
                <o:lock v:ext="edit" aspectratio="f"/>
                <v:textbox inset="0mm,0mm,0mm,0mm">
                  <w:txbxContent>
                    <w:p w14:paraId="7E2BF9C9">
                      <w:pPr>
                        <w:pStyle w:val="16"/>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××发布</w:t>
                      </w:r>
                    </w:p>
                  </w:txbxContent>
                </v:textbox>
                <w10:anchorlock/>
              </v:shape>
            </w:pict>
          </mc:Fallback>
        </mc:AlternateContent>
      </w:r>
    </w:p>
    <w:p w14:paraId="6D70CFBC">
      <w:pPr>
        <w:pageBreakBefore w:val="0"/>
        <w:tabs>
          <w:tab w:val="left" w:pos="1305"/>
        </w:tabs>
        <w:kinsoku/>
        <w:wordWrap/>
        <w:overflowPunct/>
        <w:topLinePunct w:val="0"/>
        <w:bidi w:val="0"/>
        <w:adjustRightInd/>
        <w:spacing w:before="157" w:beforeLines="50" w:after="157" w:afterLines="50"/>
        <w:rPr>
          <w:rFonts w:ascii="Times New Roman" w:hAnsi="Times New Roman"/>
          <w:color w:val="000000"/>
          <w:szCs w:val="21"/>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417" w:right="1134" w:bottom="1134" w:left="1417" w:header="850" w:footer="992" w:gutter="0"/>
          <w:pgNumType w:start="1"/>
          <w:cols w:space="0" w:num="1"/>
          <w:titlePg/>
          <w:docGrid w:type="lines" w:linePitch="312" w:charSpace="0"/>
        </w:sectPr>
      </w:pPr>
      <w:r>
        <w:rPr>
          <w:rFonts w:ascii="宋体" w:hAnsi="宋体"/>
          <w:bCs/>
          <w:color w:val="000000"/>
          <w:sz w:val="36"/>
          <w:szCs w:val="36"/>
          <w:highlight w:val="none"/>
        </w:rPr>
        <mc:AlternateContent>
          <mc:Choice Requires="wps">
            <w:drawing>
              <wp:anchor distT="0" distB="0" distL="114300" distR="114300" simplePos="0" relativeHeight="251666432" behindDoc="0" locked="0" layoutInCell="1" allowOverlap="1">
                <wp:simplePos x="0" y="0"/>
                <wp:positionH relativeFrom="column">
                  <wp:posOffset>-220345</wp:posOffset>
                </wp:positionH>
                <wp:positionV relativeFrom="paragraph">
                  <wp:posOffset>1969770</wp:posOffset>
                </wp:positionV>
                <wp:extent cx="6120130" cy="0"/>
                <wp:effectExtent l="0" t="4445" r="0" b="5080"/>
                <wp:wrapNone/>
                <wp:docPr id="6" name="AutoShape 1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ln>
                      </wps:spPr>
                      <wps:bodyPr/>
                    </wps:wsp>
                  </a:graphicData>
                </a:graphic>
              </wp:anchor>
            </w:drawing>
          </mc:Choice>
          <mc:Fallback>
            <w:pict>
              <v:shape id="AutoShape 14" o:spid="_x0000_s1026" o:spt="32" type="#_x0000_t32" style="position:absolute;left:0pt;margin-left:-17.35pt;margin-top:155.1pt;height:0pt;width:481.9pt;z-index:251666432;mso-width-relative:page;mso-height-relative:page;" filled="f" stroked="t" coordsize="21600,21600" o:gfxdata="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GPJw/PYAAAACwEAAA8AAAAAAAAAAQAg&#10;AAAAIgAAAGRycy9kb3ducmV2LnhtbFBLAQIUABQAAAAIAIdO4kAEyikJ1QEAALMDAAAOAAAAAAAA&#10;AAEAIAAAACcBAABkcnMvZTJvRG9jLnhtbFBLBQYAAAAABgAGAFkBAABuBQAAAAA=&#10;">
                <v:fill on="f" focussize="0,0"/>
                <v:stroke color="#000000" joinstyle="round"/>
                <v:imagedata o:title=""/>
                <o:lock v:ext="edit" aspectratio="f"/>
              </v:shape>
            </w:pict>
          </mc:Fallback>
        </mc:AlternateContent>
      </w:r>
    </w:p>
    <w:p w14:paraId="78C4FBA1">
      <w:pPr>
        <w:pStyle w:val="6"/>
        <w:pageBreakBefore w:val="0"/>
        <w:kinsoku/>
        <w:wordWrap/>
        <w:overflowPunct/>
        <w:topLinePunct w:val="0"/>
        <w:bidi w:val="0"/>
        <w:adjustRightInd/>
        <w:snapToGrid/>
        <w:spacing w:before="0" w:beforeLines="100" w:after="0" w:afterLines="100"/>
        <w:jc w:val="center"/>
        <w:outlineLvl w:val="0"/>
        <w:rPr>
          <w:rFonts w:ascii="Times New Roman" w:hAnsi="Times New Roman" w:eastAsia="黑体"/>
          <w:bCs/>
          <w:color w:val="000000"/>
          <w:sz w:val="32"/>
          <w:szCs w:val="32"/>
          <w:highlight w:val="none"/>
        </w:rPr>
      </w:pPr>
      <w:bookmarkStart w:id="0" w:name="_Toc18223"/>
      <w:bookmarkStart w:id="1" w:name="_Toc22401"/>
      <w:bookmarkStart w:id="2" w:name="_Toc16050"/>
      <w:bookmarkStart w:id="3" w:name="_Toc7349"/>
      <w:bookmarkStart w:id="4" w:name="_Toc25768"/>
      <w:bookmarkStart w:id="5" w:name="_Toc23109710"/>
      <w:bookmarkStart w:id="6" w:name="_Toc14494"/>
      <w:bookmarkStart w:id="7" w:name="_Toc19640"/>
      <w:bookmarkStart w:id="8" w:name="_Toc18100"/>
      <w:bookmarkStart w:id="9" w:name="_Toc30137"/>
      <w:bookmarkStart w:id="10" w:name="_Toc11998"/>
      <w:bookmarkStart w:id="11" w:name="_Toc26541137"/>
      <w:bookmarkStart w:id="12" w:name="_Toc32599"/>
      <w:bookmarkStart w:id="13" w:name="_Toc21586"/>
      <w:bookmarkStart w:id="14" w:name="_Toc16010"/>
      <w:bookmarkStart w:id="15" w:name="_Toc13900"/>
      <w:bookmarkStart w:id="16" w:name="_Toc31551"/>
      <w:bookmarkStart w:id="17" w:name="_Toc13472"/>
      <w:bookmarkStart w:id="18" w:name="_Toc29175"/>
      <w:bookmarkStart w:id="19" w:name="_Toc840"/>
      <w:bookmarkStart w:id="20" w:name="_Toc5123"/>
      <w:bookmarkStart w:id="21" w:name="_Toc26679"/>
      <w:bookmarkStart w:id="22" w:name="_Toc5094"/>
      <w:bookmarkStart w:id="23" w:name="_Toc465701073"/>
      <w:r>
        <w:rPr>
          <w:rFonts w:ascii="Times New Roman" w:hAnsi="Times New Roman" w:eastAsia="黑体"/>
          <w:bCs/>
          <w:color w:val="000000"/>
          <w:sz w:val="32"/>
          <w:szCs w:val="32"/>
          <w:highlight w:val="none"/>
        </w:rPr>
        <w:t>前</w:t>
      </w:r>
      <w:r>
        <w:rPr>
          <w:rFonts w:hint="eastAsia" w:ascii="Times New Roman" w:hAnsi="Times New Roman" w:eastAsia="黑体"/>
          <w:bCs/>
          <w:color w:val="000000"/>
          <w:sz w:val="32"/>
          <w:szCs w:val="32"/>
          <w:highlight w:val="none"/>
        </w:rPr>
        <w:t xml:space="preserve">  </w:t>
      </w:r>
      <w:r>
        <w:rPr>
          <w:rFonts w:ascii="Times New Roman" w:hAnsi="Times New Roman" w:eastAsia="黑体"/>
          <w:bCs/>
          <w:color w:val="000000"/>
          <w:sz w:val="32"/>
          <w:szCs w:val="32"/>
          <w:highlight w:val="none"/>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07FE8889">
      <w:pPr>
        <w:keepNext w:val="0"/>
        <w:keepLines w:val="0"/>
        <w:pageBreakBefore w:val="0"/>
        <w:widowControl/>
        <w:tabs>
          <w:tab w:val="center" w:pos="4201"/>
          <w:tab w:val="right" w:leader="dot" w:pos="9298"/>
        </w:tabs>
        <w:kinsoku/>
        <w:wordWrap/>
        <w:overflowPunct/>
        <w:topLinePunct w:val="0"/>
        <w:autoSpaceDE/>
        <w:autoSpaceDN/>
        <w:bidi w:val="0"/>
        <w:adjustRightInd/>
        <w:snapToGrid/>
        <w:spacing w:line="240" w:lineRule="auto"/>
        <w:ind w:firstLine="420" w:firstLineChars="200"/>
        <w:textAlignment w:val="auto"/>
        <w:rPr>
          <w:rFonts w:ascii="Times New Roman" w:hAnsi="等线"/>
          <w:color w:val="000000"/>
          <w:sz w:val="21"/>
          <w:szCs w:val="21"/>
        </w:rPr>
      </w:pPr>
      <w:r>
        <w:rPr>
          <w:rFonts w:hint="eastAsia" w:ascii="Times New Roman" w:hAnsi="等线"/>
          <w:color w:val="000000"/>
          <w:sz w:val="21"/>
          <w:szCs w:val="21"/>
        </w:rPr>
        <w:t>本标准按照GB/T 1.1-2009《标准化工作导则 第1部分：标准的结构和编写》给出的规则起草。</w:t>
      </w:r>
    </w:p>
    <w:p w14:paraId="343F2894">
      <w:pPr>
        <w:keepNext w:val="0"/>
        <w:keepLines w:val="0"/>
        <w:pageBreakBefore w:val="0"/>
        <w:widowControl/>
        <w:tabs>
          <w:tab w:val="center" w:pos="4201"/>
          <w:tab w:val="right" w:leader="dot" w:pos="9298"/>
        </w:tabs>
        <w:kinsoku/>
        <w:wordWrap/>
        <w:overflowPunct/>
        <w:topLinePunct w:val="0"/>
        <w:autoSpaceDE/>
        <w:autoSpaceDN/>
        <w:bidi w:val="0"/>
        <w:adjustRightInd/>
        <w:snapToGrid/>
        <w:spacing w:line="240" w:lineRule="auto"/>
        <w:ind w:firstLine="420" w:firstLineChars="200"/>
        <w:textAlignment w:val="auto"/>
        <w:rPr>
          <w:rFonts w:ascii="Times New Roman" w:hAnsi="等线"/>
          <w:color w:val="000000"/>
          <w:sz w:val="21"/>
          <w:szCs w:val="21"/>
        </w:rPr>
      </w:pPr>
      <w:r>
        <w:rPr>
          <w:rFonts w:hint="eastAsia" w:ascii="Times New Roman" w:hAnsi="等线"/>
          <w:color w:val="000000"/>
          <w:sz w:val="21"/>
          <w:szCs w:val="21"/>
        </w:rPr>
        <w:t>本标准由中国</w:t>
      </w:r>
      <w:r>
        <w:rPr>
          <w:rFonts w:hint="eastAsia" w:ascii="Times New Roman" w:hAnsi="等线"/>
          <w:color w:val="000000"/>
          <w:sz w:val="21"/>
          <w:szCs w:val="21"/>
          <w:lang w:val="en-US" w:eastAsia="zh-CN"/>
        </w:rPr>
        <w:t>乡村发展协会</w:t>
      </w:r>
      <w:r>
        <w:rPr>
          <w:rFonts w:hint="eastAsia" w:ascii="Times New Roman" w:hAnsi="等线"/>
          <w:color w:val="000000"/>
          <w:sz w:val="21"/>
          <w:szCs w:val="21"/>
        </w:rPr>
        <w:t>提出并归口。</w:t>
      </w:r>
    </w:p>
    <w:p w14:paraId="31A740F2">
      <w:pPr>
        <w:keepNext w:val="0"/>
        <w:keepLines w:val="0"/>
        <w:pageBreakBefore w:val="0"/>
        <w:widowControl/>
        <w:tabs>
          <w:tab w:val="center" w:pos="4201"/>
          <w:tab w:val="right" w:leader="dot" w:pos="9298"/>
        </w:tabs>
        <w:kinsoku/>
        <w:wordWrap/>
        <w:overflowPunct/>
        <w:topLinePunct w:val="0"/>
        <w:autoSpaceDE/>
        <w:autoSpaceDN/>
        <w:bidi w:val="0"/>
        <w:adjustRightInd/>
        <w:snapToGrid/>
        <w:spacing w:line="240" w:lineRule="auto"/>
        <w:ind w:firstLine="420" w:firstLineChars="200"/>
        <w:textAlignment w:val="auto"/>
        <w:rPr>
          <w:rFonts w:hint="default" w:ascii="Times New Roman" w:hAnsi="等线"/>
          <w:color w:val="000000"/>
          <w:sz w:val="21"/>
          <w:szCs w:val="21"/>
          <w:lang w:val="en-US" w:eastAsia="zh-CN"/>
        </w:rPr>
      </w:pPr>
      <w:r>
        <w:rPr>
          <w:rFonts w:hint="eastAsia" w:ascii="Times New Roman" w:hAnsi="等线"/>
          <w:color w:val="000000"/>
          <w:sz w:val="21"/>
          <w:szCs w:val="21"/>
        </w:rPr>
        <w:t>本标准起草单位：</w:t>
      </w:r>
      <w:r>
        <w:rPr>
          <w:rFonts w:hint="eastAsia" w:ascii="Times New Roman" w:hAnsi="等线"/>
          <w:color w:val="000000"/>
          <w:sz w:val="21"/>
          <w:szCs w:val="21"/>
          <w:lang w:eastAsia="zh-CN"/>
        </w:rPr>
        <w:t>四川省中医药科学院、文山学院、</w:t>
      </w:r>
      <w:r>
        <w:rPr>
          <w:rFonts w:hint="eastAsia" w:ascii="宋体" w:hAnsi="宋体"/>
          <w:color w:val="auto"/>
          <w:sz w:val="21"/>
          <w:szCs w:val="21"/>
          <w:lang w:val="en-US" w:eastAsia="zh-CN"/>
        </w:rPr>
        <w:t>成都中医药大学、中健安检测认证中心有限公司。</w:t>
      </w:r>
    </w:p>
    <w:p w14:paraId="57A0EB29">
      <w:pPr>
        <w:keepNext w:val="0"/>
        <w:keepLines w:val="0"/>
        <w:pageBreakBefore w:val="0"/>
        <w:widowControl/>
        <w:tabs>
          <w:tab w:val="center" w:pos="4201"/>
          <w:tab w:val="right" w:leader="dot" w:pos="9298"/>
        </w:tabs>
        <w:kinsoku/>
        <w:wordWrap/>
        <w:overflowPunct/>
        <w:topLinePunct w:val="0"/>
        <w:autoSpaceDE/>
        <w:autoSpaceDN/>
        <w:bidi w:val="0"/>
        <w:adjustRightInd/>
        <w:snapToGrid/>
        <w:ind w:firstLine="420" w:firstLineChars="200"/>
        <w:textAlignment w:val="auto"/>
        <w:rPr>
          <w:rFonts w:hint="default" w:ascii="黑体" w:hAnsi="黑体" w:eastAsia="黑体"/>
          <w:bCs/>
          <w:color w:val="000000"/>
          <w:sz w:val="32"/>
          <w:szCs w:val="32"/>
          <w:highlight w:val="none"/>
          <w:lang w:val="en-US" w:eastAsia="zh-CN"/>
        </w:rPr>
        <w:sectPr>
          <w:headerReference r:id="rId9" w:type="default"/>
          <w:footerReference r:id="rId10" w:type="default"/>
          <w:footerReference r:id="rId11" w:type="even"/>
          <w:pgSz w:w="11905" w:h="16840"/>
          <w:pgMar w:top="1700" w:right="1020" w:bottom="1300" w:left="1180" w:header="1448" w:footer="1113" w:gutter="0"/>
          <w:pgNumType w:fmt="upperRoman" w:start="1"/>
          <w:cols w:space="720" w:num="1"/>
        </w:sectPr>
      </w:pPr>
      <w:r>
        <w:rPr>
          <w:rFonts w:hint="eastAsia" w:ascii="Times New Roman" w:hAnsi="等线"/>
          <w:color w:val="000000"/>
          <w:sz w:val="21"/>
          <w:szCs w:val="21"/>
        </w:rPr>
        <w:t>本标准主要起草人：</w:t>
      </w:r>
      <w:r>
        <w:rPr>
          <w:rFonts w:hint="eastAsia" w:ascii="Times New Roman" w:hAnsi="等线"/>
          <w:color w:val="000000"/>
          <w:sz w:val="21"/>
          <w:szCs w:val="21"/>
          <w:lang w:eastAsia="zh-CN"/>
        </w:rPr>
        <w:t>郭俊霞、李青苗、吴萍、王晓宇、张松林、王洪苏、辛文锋、</w:t>
      </w:r>
      <w:r>
        <w:rPr>
          <w:rFonts w:hint="eastAsia" w:ascii="Times New Roman" w:hAnsi="等线"/>
          <w:color w:val="000000"/>
          <w:sz w:val="21"/>
          <w:szCs w:val="21"/>
          <w:lang w:val="en-US" w:eastAsia="zh-CN"/>
        </w:rPr>
        <w:t>高继海、王琦。</w:t>
      </w:r>
    </w:p>
    <w:p w14:paraId="33EE5A12">
      <w:pPr>
        <w:pStyle w:val="6"/>
        <w:pageBreakBefore w:val="0"/>
        <w:kinsoku/>
        <w:wordWrap/>
        <w:overflowPunct/>
        <w:topLinePunct w:val="0"/>
        <w:bidi w:val="0"/>
        <w:adjustRightInd/>
        <w:snapToGrid/>
        <w:spacing w:before="157" w:beforeLines="50" w:after="157" w:afterLines="50"/>
        <w:jc w:val="center"/>
        <w:rPr>
          <w:rFonts w:ascii="黑体" w:hAnsi="黑体" w:eastAsia="黑体"/>
          <w:bCs/>
          <w:color w:val="000000"/>
          <w:sz w:val="32"/>
          <w:szCs w:val="32"/>
          <w:highlight w:val="none"/>
        </w:rPr>
      </w:pPr>
    </w:p>
    <w:p w14:paraId="7A6F11A8">
      <w:pPr>
        <w:keepNext w:val="0"/>
        <w:keepLines w:val="0"/>
        <w:pageBreakBefore w:val="0"/>
        <w:widowControl w:val="0"/>
        <w:kinsoku/>
        <w:wordWrap/>
        <w:overflowPunct/>
        <w:topLinePunct w:val="0"/>
        <w:autoSpaceDE/>
        <w:autoSpaceDN/>
        <w:bidi w:val="0"/>
        <w:adjustRightInd/>
        <w:snapToGrid/>
        <w:spacing w:before="0" w:beforeLines="100" w:after="0" w:afterLines="100"/>
        <w:jc w:val="center"/>
        <w:textAlignment w:val="auto"/>
        <w:rPr>
          <w:rFonts w:hint="default" w:ascii="黑体" w:hAnsi="黑体" w:eastAsia="黑体"/>
          <w:bCs/>
          <w:color w:val="000000"/>
          <w:sz w:val="32"/>
          <w:szCs w:val="32"/>
          <w:highlight w:val="none"/>
          <w:lang w:val="en-US" w:eastAsia="zh-CN"/>
        </w:rPr>
      </w:pPr>
      <w:r>
        <w:rPr>
          <w:rFonts w:hint="eastAsia" w:ascii="黑体" w:hAnsi="黑体" w:eastAsia="黑体"/>
          <w:bCs/>
          <w:color w:val="000000"/>
          <w:sz w:val="32"/>
          <w:szCs w:val="32"/>
          <w:highlight w:val="none"/>
          <w:lang w:val="en-US" w:eastAsia="zh-CN"/>
        </w:rPr>
        <w:t>道地</w:t>
      </w:r>
      <w:r>
        <w:rPr>
          <w:rFonts w:hint="eastAsia" w:ascii="黑体" w:hAnsi="黑体" w:eastAsia="黑体"/>
          <w:bCs/>
          <w:color w:val="000000"/>
          <w:sz w:val="32"/>
          <w:szCs w:val="32"/>
          <w:highlight w:val="none"/>
        </w:rPr>
        <w:t>药材集采交易标准</w:t>
      </w:r>
      <w:r>
        <w:rPr>
          <w:rFonts w:hint="eastAsia" w:ascii="黑体" w:hAnsi="黑体" w:eastAsia="黑体"/>
          <w:bCs/>
          <w:color w:val="000000"/>
          <w:sz w:val="32"/>
          <w:szCs w:val="32"/>
          <w:highlight w:val="none"/>
          <w:lang w:val="en-US" w:eastAsia="zh-CN"/>
        </w:rPr>
        <w:t xml:space="preserve"> 霍山石斛</w:t>
      </w:r>
    </w:p>
    <w:p w14:paraId="19A0353B">
      <w:pPr>
        <w:pStyle w:val="6"/>
        <w:keepNext w:val="0"/>
        <w:keepLines w:val="0"/>
        <w:pageBreakBefore w:val="0"/>
        <w:widowControl w:val="0"/>
        <w:kinsoku/>
        <w:wordWrap/>
        <w:overflowPunct/>
        <w:topLinePunct w:val="0"/>
        <w:autoSpaceDE/>
        <w:autoSpaceDN/>
        <w:bidi w:val="0"/>
        <w:adjustRightInd/>
        <w:snapToGrid/>
        <w:spacing w:before="0" w:beforeLines="100" w:after="0" w:afterLines="100"/>
        <w:jc w:val="both"/>
        <w:textAlignment w:val="auto"/>
        <w:outlineLvl w:val="0"/>
        <w:rPr>
          <w:rFonts w:hint="eastAsia" w:ascii="黑体" w:hAnsi="黑体" w:eastAsia="黑体" w:cs="黑体"/>
          <w:bCs/>
          <w:color w:val="000000"/>
          <w:sz w:val="21"/>
          <w:szCs w:val="21"/>
          <w:highlight w:val="none"/>
          <w:lang w:val="en-US" w:eastAsia="zh-CN"/>
        </w:rPr>
      </w:pPr>
      <w:bookmarkStart w:id="24" w:name="_Toc7097"/>
      <w:bookmarkStart w:id="25" w:name="_Toc9192"/>
      <w:bookmarkStart w:id="26" w:name="_Toc20312"/>
      <w:r>
        <w:rPr>
          <w:rFonts w:hint="eastAsia" w:ascii="黑体" w:hAnsi="黑体" w:eastAsia="黑体" w:cs="黑体"/>
          <w:bCs/>
          <w:color w:val="000000"/>
          <w:sz w:val="21"/>
          <w:szCs w:val="21"/>
          <w:highlight w:val="none"/>
          <w:lang w:val="en-US" w:eastAsia="zh-CN"/>
        </w:rPr>
        <w:t>1 范围</w:t>
      </w:r>
      <w:bookmarkEnd w:id="24"/>
      <w:bookmarkEnd w:id="25"/>
      <w:bookmarkEnd w:id="26"/>
    </w:p>
    <w:p w14:paraId="1650046B">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本标准规定了</w:t>
      </w:r>
      <w:r>
        <w:rPr>
          <w:rFonts w:hint="eastAsia" w:ascii="宋体" w:hAnsi="宋体" w:cs="宋体"/>
          <w:bCs/>
          <w:color w:val="auto"/>
          <w:sz w:val="21"/>
          <w:szCs w:val="21"/>
          <w:lang w:val="en-US" w:eastAsia="zh-CN"/>
        </w:rPr>
        <w:t>道地</w:t>
      </w:r>
      <w:r>
        <w:rPr>
          <w:rFonts w:hint="eastAsia" w:ascii="宋体" w:hAnsi="宋体" w:eastAsia="宋体" w:cs="宋体"/>
          <w:bCs/>
          <w:color w:val="auto"/>
          <w:sz w:val="21"/>
          <w:szCs w:val="21"/>
          <w:lang w:val="en-US" w:eastAsia="zh-CN"/>
        </w:rPr>
        <w:t>药材</w:t>
      </w:r>
      <w:r>
        <w:rPr>
          <w:rFonts w:hint="eastAsia" w:ascii="宋体" w:hAnsi="宋体" w:cs="宋体"/>
          <w:bCs/>
          <w:color w:val="auto"/>
          <w:sz w:val="21"/>
          <w:szCs w:val="21"/>
          <w:lang w:val="en-US" w:eastAsia="zh-CN"/>
        </w:rPr>
        <w:t>霍山石斛</w:t>
      </w:r>
      <w:r>
        <w:rPr>
          <w:rFonts w:hint="eastAsia" w:ascii="宋体" w:hAnsi="宋体" w:eastAsia="宋体" w:cs="宋体"/>
          <w:bCs/>
          <w:color w:val="auto"/>
          <w:sz w:val="21"/>
          <w:szCs w:val="21"/>
          <w:lang w:val="en-US" w:eastAsia="zh-CN"/>
        </w:rPr>
        <w:t>集采的术语和定义、集采要求。</w:t>
      </w:r>
    </w:p>
    <w:p w14:paraId="371673CE">
      <w:pPr>
        <w:pStyle w:val="6"/>
        <w:keepNext w:val="0"/>
        <w:keepLines w:val="0"/>
        <w:pageBreakBefore w:val="0"/>
        <w:widowControl/>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sz w:val="21"/>
          <w:szCs w:val="21"/>
          <w:lang w:val="en-US" w:eastAsia="zh-CN"/>
        </w:rPr>
      </w:pPr>
      <w:r>
        <w:rPr>
          <w:rFonts w:hint="eastAsia" w:ascii="宋体" w:hAnsi="宋体" w:eastAsia="宋体" w:cs="宋体"/>
          <w:bCs/>
          <w:color w:val="auto"/>
          <w:sz w:val="21"/>
          <w:szCs w:val="21"/>
          <w:lang w:val="en-US" w:eastAsia="zh-CN"/>
        </w:rPr>
        <w:t>本标准适用于指导中华人民共和国境内</w:t>
      </w:r>
      <w:r>
        <w:rPr>
          <w:rFonts w:hint="eastAsia" w:ascii="宋体" w:hAnsi="宋体" w:cs="宋体"/>
          <w:bCs/>
          <w:color w:val="auto"/>
          <w:sz w:val="21"/>
          <w:szCs w:val="21"/>
          <w:lang w:val="en-US" w:eastAsia="zh-CN"/>
        </w:rPr>
        <w:t>道地</w:t>
      </w:r>
      <w:r>
        <w:rPr>
          <w:rFonts w:hint="eastAsia" w:ascii="宋体" w:hAnsi="宋体" w:eastAsia="宋体" w:cs="宋体"/>
          <w:bCs/>
          <w:color w:val="auto"/>
          <w:sz w:val="21"/>
          <w:szCs w:val="21"/>
          <w:lang w:val="en-US" w:eastAsia="zh-CN"/>
        </w:rPr>
        <w:t>药材</w:t>
      </w:r>
      <w:r>
        <w:rPr>
          <w:rFonts w:hint="eastAsia" w:ascii="宋体" w:hAnsi="宋体" w:cs="宋体"/>
          <w:bCs/>
          <w:color w:val="auto"/>
          <w:sz w:val="21"/>
          <w:szCs w:val="21"/>
          <w:lang w:val="en-US" w:eastAsia="zh-CN"/>
        </w:rPr>
        <w:t>霍山石斛</w:t>
      </w:r>
      <w:r>
        <w:rPr>
          <w:rFonts w:hint="eastAsia" w:ascii="宋体" w:hAnsi="宋体" w:eastAsia="宋体" w:cs="宋体"/>
          <w:bCs/>
          <w:color w:val="auto"/>
          <w:sz w:val="21"/>
          <w:szCs w:val="21"/>
          <w:lang w:val="en-US" w:eastAsia="zh-CN"/>
        </w:rPr>
        <w:t>的集采交易。</w:t>
      </w:r>
    </w:p>
    <w:p w14:paraId="4A3A4792">
      <w:pPr>
        <w:pStyle w:val="6"/>
        <w:pageBreakBefore w:val="0"/>
        <w:widowControl w:val="0"/>
        <w:kinsoku/>
        <w:wordWrap/>
        <w:overflowPunct/>
        <w:topLinePunct w:val="0"/>
        <w:autoSpaceDE/>
        <w:autoSpaceDN/>
        <w:bidi w:val="0"/>
        <w:adjustRightInd/>
        <w:snapToGrid/>
        <w:spacing w:before="0" w:beforeLines="100" w:after="0" w:afterLines="100"/>
        <w:jc w:val="both"/>
        <w:textAlignment w:val="auto"/>
        <w:outlineLvl w:val="0"/>
        <w:rPr>
          <w:rFonts w:hint="eastAsia" w:ascii="黑体" w:hAnsi="黑体" w:eastAsia="黑体" w:cs="黑体"/>
          <w:bCs/>
          <w:color w:val="000000"/>
          <w:sz w:val="21"/>
          <w:szCs w:val="21"/>
          <w:highlight w:val="none"/>
          <w:lang w:val="en-US" w:eastAsia="zh-CN"/>
        </w:rPr>
      </w:pPr>
      <w:bookmarkStart w:id="27" w:name="_Toc2870"/>
      <w:bookmarkStart w:id="28" w:name="_Toc6170"/>
      <w:bookmarkStart w:id="29" w:name="_Toc20415"/>
      <w:r>
        <w:rPr>
          <w:rFonts w:hint="eastAsia" w:ascii="黑体" w:hAnsi="黑体" w:eastAsia="黑体" w:cs="黑体"/>
          <w:bCs/>
          <w:color w:val="000000"/>
          <w:sz w:val="21"/>
          <w:szCs w:val="21"/>
          <w:highlight w:val="none"/>
          <w:lang w:val="en-US" w:eastAsia="zh-CN"/>
        </w:rPr>
        <w:t>2 规范性引用文件</w:t>
      </w:r>
      <w:bookmarkEnd w:id="27"/>
      <w:bookmarkEnd w:id="28"/>
      <w:bookmarkEnd w:id="29"/>
    </w:p>
    <w:p w14:paraId="36F64815">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下列文件对于本文件的应用是必不可少的。凡是注日期的引用文件，仅注日期的版本适用于本文件。凡是不注日期的引用文件，其最新版本（包括所有的修改单）适用于本文件。</w:t>
      </w:r>
    </w:p>
    <w:p w14:paraId="5EC4A399">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T/ZGXCFZXH 0001.1-2024</w:t>
      </w:r>
      <w:r>
        <w:rPr>
          <w:rFonts w:hint="eastAsia" w:ascii="宋体" w:hAnsi="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lang w:val="en-US" w:eastAsia="zh-CN"/>
        </w:rPr>
        <w:t>《</w:t>
      </w:r>
      <w:r>
        <w:rPr>
          <w:rFonts w:hint="eastAsia" w:ascii="宋体" w:hAnsi="宋体" w:cs="宋体"/>
          <w:bCs/>
          <w:color w:val="000000"/>
          <w:sz w:val="21"/>
          <w:szCs w:val="21"/>
          <w:highlight w:val="none"/>
          <w:lang w:val="en-US" w:eastAsia="zh-CN"/>
        </w:rPr>
        <w:t>道地</w:t>
      </w:r>
      <w:r>
        <w:rPr>
          <w:rFonts w:hint="eastAsia" w:ascii="宋体" w:hAnsi="宋体" w:eastAsia="宋体" w:cs="宋体"/>
          <w:bCs/>
          <w:color w:val="000000"/>
          <w:sz w:val="21"/>
          <w:szCs w:val="21"/>
          <w:highlight w:val="none"/>
          <w:lang w:val="en-US" w:eastAsia="zh-CN"/>
        </w:rPr>
        <w:t>药材集采交易标准编制通则》</w:t>
      </w:r>
    </w:p>
    <w:p w14:paraId="07DDE3FB">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T/CACM 1021.1</w:t>
      </w:r>
      <w:r>
        <w:rPr>
          <w:rFonts w:hint="eastAsia" w:ascii="宋体" w:hAnsi="宋体" w:cs="宋体"/>
          <w:bCs/>
          <w:color w:val="000000"/>
          <w:sz w:val="21"/>
          <w:szCs w:val="21"/>
          <w:highlight w:val="none"/>
          <w:lang w:val="en-US" w:eastAsia="zh-CN"/>
        </w:rPr>
        <w:t>-</w:t>
      </w:r>
      <w:r>
        <w:rPr>
          <w:rFonts w:hint="eastAsia" w:ascii="宋体" w:hAnsi="宋体" w:eastAsia="宋体" w:cs="宋体"/>
          <w:bCs/>
          <w:color w:val="000000"/>
          <w:sz w:val="21"/>
          <w:szCs w:val="21"/>
          <w:highlight w:val="none"/>
          <w:lang w:val="en-US" w:eastAsia="zh-CN"/>
        </w:rPr>
        <w:t>2016</w:t>
      </w:r>
      <w:r>
        <w:rPr>
          <w:rFonts w:hint="eastAsia" w:ascii="宋体" w:hAnsi="宋体" w:cs="宋体"/>
          <w:bCs/>
          <w:color w:val="000000"/>
          <w:sz w:val="21"/>
          <w:szCs w:val="21"/>
          <w:highlight w:val="none"/>
          <w:lang w:val="en-US" w:eastAsia="zh-CN"/>
        </w:rPr>
        <w:t xml:space="preserve"> </w:t>
      </w:r>
      <w:r>
        <w:rPr>
          <w:rFonts w:hint="eastAsia" w:ascii="宋体" w:hAnsi="宋体" w:eastAsia="宋体" w:cs="宋体"/>
          <w:bCs/>
          <w:color w:val="000000"/>
          <w:sz w:val="21"/>
          <w:szCs w:val="21"/>
          <w:highlight w:val="none"/>
          <w:lang w:val="en-US" w:eastAsia="zh-CN"/>
        </w:rPr>
        <w:t>《中药材商品规格等级</w:t>
      </w:r>
      <w:r>
        <w:rPr>
          <w:rFonts w:hint="eastAsia" w:ascii="宋体" w:hAnsi="宋体" w:cs="宋体"/>
          <w:bCs/>
          <w:color w:val="000000"/>
          <w:sz w:val="21"/>
          <w:szCs w:val="21"/>
          <w:highlight w:val="none"/>
          <w:lang w:val="en-US" w:eastAsia="zh-CN"/>
        </w:rPr>
        <w:t>标准</w:t>
      </w:r>
      <w:r>
        <w:rPr>
          <w:rFonts w:hint="eastAsia" w:ascii="宋体" w:hAnsi="宋体" w:eastAsia="宋体" w:cs="宋体"/>
          <w:bCs/>
          <w:color w:val="000000"/>
          <w:sz w:val="21"/>
          <w:szCs w:val="21"/>
          <w:highlight w:val="none"/>
          <w:lang w:val="en-US" w:eastAsia="zh-CN"/>
        </w:rPr>
        <w:t>编制通则》</w:t>
      </w:r>
    </w:p>
    <w:p w14:paraId="41042337">
      <w:pPr>
        <w:pStyle w:val="6"/>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highlight w:val="none"/>
          <w:lang w:val="en-US" w:eastAsia="zh-CN"/>
        </w:rPr>
        <w:t>T/CACM 1021.113</w:t>
      </w:r>
      <w:r>
        <w:rPr>
          <w:rFonts w:hint="eastAsia" w:ascii="宋体" w:hAnsi="宋体" w:cs="宋体"/>
          <w:bCs/>
          <w:color w:val="000000"/>
          <w:sz w:val="21"/>
          <w:szCs w:val="21"/>
          <w:highlight w:val="none"/>
          <w:lang w:val="en-US" w:eastAsia="zh-CN"/>
        </w:rPr>
        <w:t>-</w:t>
      </w:r>
      <w:r>
        <w:rPr>
          <w:rFonts w:hint="eastAsia" w:ascii="宋体" w:hAnsi="宋体" w:eastAsia="宋体" w:cs="宋体"/>
          <w:bCs/>
          <w:color w:val="000000"/>
          <w:sz w:val="21"/>
          <w:szCs w:val="21"/>
          <w:highlight w:val="none"/>
          <w:lang w:val="en-US" w:eastAsia="zh-CN"/>
        </w:rPr>
        <w:t>2018 《中药材商品规格等级 石斛》</w:t>
      </w:r>
    </w:p>
    <w:p w14:paraId="79C65703">
      <w:pPr>
        <w:pStyle w:val="2"/>
        <w:pageBreakBefore w:val="0"/>
        <w:widowControl w:val="0"/>
        <w:numPr>
          <w:ilvl w:val="0"/>
          <w:numId w:val="0"/>
        </w:numPr>
        <w:kinsoku/>
        <w:wordWrap/>
        <w:overflowPunct/>
        <w:topLinePunct w:val="0"/>
        <w:autoSpaceDE/>
        <w:autoSpaceDN/>
        <w:bidi w:val="0"/>
        <w:adjustRightInd/>
        <w:snapToGrid/>
        <w:spacing w:before="0" w:beforeLines="100" w:after="0" w:afterLines="100"/>
        <w:ind w:leftChars="0"/>
        <w:textAlignment w:val="auto"/>
        <w:rPr>
          <w:rFonts w:hint="eastAsia" w:ascii="黑体" w:hAnsi="黑体" w:eastAsia="黑体" w:cs="黑体"/>
          <w:bCs/>
          <w:color w:val="000000"/>
          <w:sz w:val="21"/>
          <w:szCs w:val="21"/>
          <w:highlight w:val="none"/>
          <w:lang w:val="en-US" w:eastAsia="zh-CN"/>
        </w:rPr>
      </w:pPr>
      <w:bookmarkStart w:id="30" w:name="_Toc20300"/>
      <w:bookmarkStart w:id="31" w:name="_Toc20812"/>
      <w:bookmarkStart w:id="32" w:name="_Toc32573"/>
      <w:r>
        <w:rPr>
          <w:rFonts w:hint="eastAsia" w:ascii="黑体" w:hAnsi="黑体" w:eastAsia="黑体" w:cs="黑体"/>
          <w:bCs/>
          <w:color w:val="000000"/>
          <w:sz w:val="21"/>
          <w:szCs w:val="21"/>
          <w:highlight w:val="none"/>
          <w:lang w:val="en-US" w:eastAsia="zh-CN"/>
        </w:rPr>
        <w:t>3 术语和定义</w:t>
      </w:r>
      <w:bookmarkEnd w:id="30"/>
      <w:bookmarkEnd w:id="31"/>
      <w:bookmarkEnd w:id="32"/>
    </w:p>
    <w:p w14:paraId="1F42CB63">
      <w:pPr>
        <w:pStyle w:val="2"/>
        <w:pageBreakBefore w:val="0"/>
        <w:kinsoku/>
        <w:wordWrap/>
        <w:overflowPunct/>
        <w:topLinePunct w:val="0"/>
        <w:bidi w:val="0"/>
        <w:adjustRightInd/>
        <w:spacing w:before="157" w:beforeLines="50" w:after="157" w:afterLines="50"/>
        <w:outlineLvl w:val="1"/>
        <w:rPr>
          <w:rFonts w:hint="eastAsia" w:ascii="黑体" w:hAnsi="黑体" w:eastAsia="黑体" w:cs="黑体"/>
          <w:sz w:val="21"/>
          <w:szCs w:val="21"/>
          <w:highlight w:val="none"/>
          <w:lang w:val="en-US" w:eastAsia="zh-CN"/>
        </w:rPr>
      </w:pPr>
      <w:bookmarkStart w:id="33" w:name="_Toc18163"/>
      <w:bookmarkStart w:id="34" w:name="_Toc29958"/>
      <w:bookmarkStart w:id="35" w:name="_Toc8576"/>
      <w:r>
        <w:rPr>
          <w:rFonts w:hint="eastAsia" w:ascii="黑体" w:hAnsi="黑体" w:eastAsia="黑体" w:cs="黑体"/>
          <w:sz w:val="21"/>
          <w:szCs w:val="21"/>
          <w:highlight w:val="none"/>
          <w:lang w:val="en-US" w:eastAsia="zh-CN"/>
        </w:rPr>
        <w:t>3.1</w:t>
      </w:r>
      <w:bookmarkEnd w:id="33"/>
      <w:bookmarkEnd w:id="34"/>
      <w:bookmarkEnd w:id="35"/>
      <w:r>
        <w:rPr>
          <w:rFonts w:hint="eastAsia" w:ascii="黑体" w:hAnsi="黑体" w:eastAsia="黑体" w:cs="黑体"/>
          <w:sz w:val="21"/>
          <w:szCs w:val="21"/>
          <w:highlight w:val="none"/>
          <w:lang w:val="en-US" w:eastAsia="zh-CN"/>
        </w:rPr>
        <w:t xml:space="preserve"> </w:t>
      </w:r>
      <w:bookmarkStart w:id="36" w:name="_Toc28413"/>
      <w:bookmarkStart w:id="37" w:name="_Toc23292"/>
      <w:bookmarkStart w:id="38" w:name="_Toc24964"/>
    </w:p>
    <w:p w14:paraId="077F8738">
      <w:pPr>
        <w:pStyle w:val="2"/>
        <w:keepNext/>
        <w:keepLines/>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outlineLvl w:val="1"/>
        <w:rPr>
          <w:rFonts w:hint="eastAsia" w:ascii="黑体" w:hAnsi="黑体" w:eastAsia="黑体" w:cs="黑体"/>
          <w:b w:val="0"/>
          <w:bCs w:val="0"/>
          <w:sz w:val="21"/>
          <w:szCs w:val="21"/>
          <w:highlight w:val="none"/>
          <w:lang w:val="en-US" w:eastAsia="zh-CN"/>
        </w:rPr>
      </w:pPr>
      <w:r>
        <w:rPr>
          <w:rFonts w:hint="eastAsia" w:ascii="黑体" w:hAnsi="黑体" w:eastAsia="黑体" w:cs="黑体"/>
          <w:b w:val="0"/>
          <w:bCs w:val="0"/>
          <w:sz w:val="21"/>
          <w:szCs w:val="21"/>
          <w:highlight w:val="none"/>
          <w:lang w:val="en-US" w:eastAsia="zh-CN"/>
        </w:rPr>
        <w:t>石斛</w:t>
      </w:r>
      <w:bookmarkEnd w:id="36"/>
      <w:bookmarkEnd w:id="37"/>
      <w:bookmarkEnd w:id="38"/>
    </w:p>
    <w:p w14:paraId="4A3C7638">
      <w:pPr>
        <w:pStyle w:val="5"/>
        <w:keepNext w:val="0"/>
        <w:keepLines w:val="0"/>
        <w:pageBreakBefore w:val="0"/>
        <w:widowControl w:val="0"/>
        <w:kinsoku/>
        <w:wordWrap/>
        <w:overflowPunct/>
        <w:topLinePunct w:val="0"/>
        <w:autoSpaceDE/>
        <w:autoSpaceDN/>
        <w:bidi w:val="0"/>
        <w:adjustRightInd/>
        <w:snapToGrid/>
        <w:spacing w:line="240" w:lineRule="auto"/>
        <w:ind w:firstLineChars="200"/>
        <w:jc w:val="both"/>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兰科植物金钗石斛</w:t>
      </w:r>
      <w:r>
        <w:rPr>
          <w:rFonts w:hint="eastAsia" w:ascii="宋体" w:hAnsi="宋体" w:eastAsia="宋体" w:cs="宋体"/>
          <w:i/>
          <w:iCs/>
          <w:sz w:val="21"/>
          <w:szCs w:val="21"/>
          <w:highlight w:val="none"/>
        </w:rPr>
        <w:t xml:space="preserve">Dendrobium nobile </w:t>
      </w:r>
      <w:r>
        <w:rPr>
          <w:rFonts w:hint="eastAsia" w:ascii="宋体" w:hAnsi="宋体" w:eastAsia="宋体" w:cs="宋体"/>
          <w:sz w:val="21"/>
          <w:szCs w:val="21"/>
          <w:highlight w:val="none"/>
        </w:rPr>
        <w:t>Lindl.、霍山石斛</w:t>
      </w:r>
      <w:r>
        <w:rPr>
          <w:rFonts w:hint="eastAsia" w:ascii="宋体" w:hAnsi="宋体" w:eastAsia="宋体" w:cs="宋体"/>
          <w:i/>
          <w:iCs/>
          <w:sz w:val="21"/>
          <w:szCs w:val="21"/>
          <w:highlight w:val="none"/>
        </w:rPr>
        <w:t>Dendrobium huoshanense</w:t>
      </w:r>
      <w:r>
        <w:rPr>
          <w:rFonts w:hint="eastAsia" w:ascii="宋体" w:hAnsi="宋体" w:eastAsia="宋体" w:cs="宋体"/>
          <w:sz w:val="21"/>
          <w:szCs w:val="21"/>
          <w:highlight w:val="none"/>
        </w:rPr>
        <w:t xml:space="preserve"> C.Z.Tang et S.J.Cheng、鼓槌石斛</w:t>
      </w:r>
      <w:r>
        <w:rPr>
          <w:rFonts w:hint="eastAsia" w:ascii="宋体" w:hAnsi="宋体" w:eastAsia="宋体" w:cs="宋体"/>
          <w:i/>
          <w:iCs/>
          <w:sz w:val="21"/>
          <w:szCs w:val="21"/>
          <w:highlight w:val="none"/>
        </w:rPr>
        <w:t>Dendrobium chrysotoxum</w:t>
      </w:r>
      <w:r>
        <w:rPr>
          <w:rFonts w:hint="eastAsia" w:ascii="宋体" w:hAnsi="宋体" w:eastAsia="宋体" w:cs="宋体"/>
          <w:sz w:val="21"/>
          <w:szCs w:val="21"/>
          <w:highlight w:val="none"/>
        </w:rPr>
        <w:t xml:space="preserve"> Lindl.或流苏石斛</w:t>
      </w:r>
      <w:r>
        <w:rPr>
          <w:rFonts w:hint="eastAsia" w:ascii="宋体" w:hAnsi="宋体" w:eastAsia="宋体" w:cs="宋体"/>
          <w:i/>
          <w:iCs/>
          <w:sz w:val="21"/>
          <w:szCs w:val="21"/>
          <w:highlight w:val="none"/>
        </w:rPr>
        <w:t xml:space="preserve">Dendrobium fimbriatum </w:t>
      </w:r>
      <w:r>
        <w:rPr>
          <w:rFonts w:hint="eastAsia" w:ascii="宋体" w:hAnsi="宋体" w:eastAsia="宋体" w:cs="宋体"/>
          <w:sz w:val="21"/>
          <w:szCs w:val="21"/>
          <w:highlight w:val="none"/>
        </w:rPr>
        <w:t>Hook.的栽培品及其同属植物近似种的新鲜或干燥茎</w:t>
      </w:r>
      <w:r>
        <w:rPr>
          <w:rFonts w:hint="eastAsia" w:ascii="宋体" w:hAnsi="宋体" w:eastAsia="宋体" w:cs="宋体"/>
          <w:sz w:val="21"/>
          <w:szCs w:val="21"/>
          <w:highlight w:val="none"/>
          <w:lang w:eastAsia="zh-CN"/>
        </w:rPr>
        <w:t>。全年均可采收，鲜用着除去根和泥沙；干用着采收后，除去杂质，用开水略烫或烘软，再边挫边烘晒，至叶鞘挫净，干燥。</w:t>
      </w:r>
    </w:p>
    <w:p w14:paraId="5BC5A543">
      <w:pPr>
        <w:pStyle w:val="2"/>
        <w:pageBreakBefore w:val="0"/>
        <w:kinsoku/>
        <w:wordWrap/>
        <w:overflowPunct/>
        <w:topLinePunct w:val="0"/>
        <w:bidi w:val="0"/>
        <w:adjustRightInd/>
        <w:spacing w:before="157" w:beforeLines="50" w:after="157" w:afterLines="50"/>
        <w:outlineLvl w:val="1"/>
        <w:rPr>
          <w:rFonts w:hint="eastAsia" w:ascii="黑体" w:hAnsi="黑体" w:eastAsia="黑体" w:cs="黑体"/>
          <w:sz w:val="21"/>
          <w:szCs w:val="21"/>
          <w:highlight w:val="none"/>
          <w:lang w:val="en-US" w:eastAsia="zh-CN"/>
        </w:rPr>
      </w:pPr>
      <w:bookmarkStart w:id="39" w:name="_Toc8180"/>
      <w:bookmarkStart w:id="40" w:name="_Toc6133"/>
      <w:bookmarkStart w:id="41" w:name="_Toc15442"/>
      <w:r>
        <w:rPr>
          <w:rFonts w:hint="eastAsia" w:ascii="黑体" w:hAnsi="黑体" w:eastAsia="黑体" w:cs="黑体"/>
          <w:sz w:val="21"/>
          <w:szCs w:val="21"/>
          <w:highlight w:val="none"/>
          <w:lang w:val="en-US" w:eastAsia="zh-CN"/>
        </w:rPr>
        <w:t>3.2</w:t>
      </w:r>
      <w:bookmarkEnd w:id="39"/>
      <w:bookmarkEnd w:id="40"/>
      <w:bookmarkEnd w:id="41"/>
      <w:r>
        <w:rPr>
          <w:rFonts w:hint="eastAsia" w:ascii="黑体" w:hAnsi="黑体" w:eastAsia="黑体" w:cs="黑体"/>
          <w:sz w:val="21"/>
          <w:szCs w:val="21"/>
          <w:highlight w:val="none"/>
          <w:lang w:val="en-US" w:eastAsia="zh-CN"/>
        </w:rPr>
        <w:t xml:space="preserve"> </w:t>
      </w:r>
      <w:bookmarkStart w:id="42" w:name="_Toc31506"/>
      <w:bookmarkStart w:id="43" w:name="_Toc11697"/>
      <w:bookmarkStart w:id="44" w:name="_Toc16943"/>
    </w:p>
    <w:bookmarkEnd w:id="42"/>
    <w:bookmarkEnd w:id="43"/>
    <w:bookmarkEnd w:id="44"/>
    <w:p w14:paraId="68D32117">
      <w:pPr>
        <w:pStyle w:val="2"/>
        <w:keepNext/>
        <w:keepLines/>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outlineLvl w:val="1"/>
        <w:rPr>
          <w:rFonts w:hint="default" w:ascii="Times New Roman" w:hAnsi="Times New Roman" w:eastAsia="黑体"/>
          <w:bCs/>
          <w:color w:val="000000"/>
          <w:sz w:val="21"/>
          <w:szCs w:val="21"/>
          <w:highlight w:val="none"/>
          <w:lang w:val="en-US" w:eastAsia="zh-CN"/>
        </w:rPr>
      </w:pPr>
      <w:bookmarkStart w:id="45" w:name="_Toc26177"/>
      <w:bookmarkStart w:id="46" w:name="_Toc24288"/>
      <w:r>
        <w:rPr>
          <w:rFonts w:hint="default" w:ascii="黑体" w:hAnsi="黑体" w:eastAsia="黑体" w:cs="黑体"/>
          <w:bCs w:val="0"/>
          <w:sz w:val="21"/>
          <w:szCs w:val="21"/>
          <w:highlight w:val="none"/>
          <w:lang w:val="en-US" w:eastAsia="zh-CN"/>
        </w:rPr>
        <w:t>霍山石斛</w:t>
      </w:r>
      <w:r>
        <w:rPr>
          <w:rFonts w:hint="eastAsia" w:ascii="黑体" w:hAnsi="黑体" w:eastAsia="黑体" w:cs="黑体"/>
          <w:bCs w:val="0"/>
          <w:sz w:val="21"/>
          <w:szCs w:val="21"/>
          <w:highlight w:val="none"/>
          <w:lang w:val="en-US" w:eastAsia="zh-CN"/>
        </w:rPr>
        <w:t xml:space="preserve"> huoshanshihu</w:t>
      </w:r>
      <w:bookmarkEnd w:id="45"/>
      <w:bookmarkEnd w:id="46"/>
      <w:r>
        <w:rPr>
          <w:rFonts w:hint="default" w:ascii="黑体" w:hAnsi="黑体" w:eastAsia="黑体" w:cs="黑体"/>
          <w:bCs w:val="0"/>
          <w:sz w:val="21"/>
          <w:szCs w:val="21"/>
          <w:highlight w:val="none"/>
          <w:lang w:val="en-US" w:eastAsia="zh-CN"/>
        </w:rPr>
        <w:t xml:space="preserve"> </w:t>
      </w:r>
      <w:r>
        <w:rPr>
          <w:rFonts w:hint="default" w:ascii="Times New Roman" w:hAnsi="Times New Roman" w:eastAsia="黑体"/>
          <w:bCs/>
          <w:color w:val="000000"/>
          <w:sz w:val="21"/>
          <w:szCs w:val="21"/>
          <w:highlight w:val="none"/>
          <w:lang w:val="en-US" w:eastAsia="zh-CN"/>
        </w:rPr>
        <w:t xml:space="preserve"> </w:t>
      </w:r>
    </w:p>
    <w:p w14:paraId="3E87C480">
      <w:pPr>
        <w:pStyle w:val="5"/>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highlight w:val="none"/>
          <w:lang w:val="en-US" w:eastAsia="zh-CN"/>
        </w:rPr>
      </w:pPr>
      <w:r>
        <w:rPr>
          <w:rFonts w:hint="default" w:ascii="Times New Roman" w:hAnsi="Times New Roman"/>
          <w:sz w:val="21"/>
          <w:highlight w:val="none"/>
          <w:lang w:val="en-US" w:eastAsia="zh-CN"/>
        </w:rPr>
        <w:t>兰科植物霍山石斛</w:t>
      </w:r>
      <w:r>
        <w:rPr>
          <w:rFonts w:hint="default" w:ascii="Times New Roman" w:hAnsi="Times New Roman"/>
          <w:i/>
          <w:iCs/>
          <w:sz w:val="21"/>
          <w:highlight w:val="none"/>
          <w:lang w:val="en-US" w:eastAsia="zh-CN"/>
        </w:rPr>
        <w:t xml:space="preserve">Dendrobium huoshanense </w:t>
      </w:r>
      <w:r>
        <w:rPr>
          <w:rFonts w:hint="default" w:ascii="Times New Roman" w:hAnsi="Times New Roman"/>
          <w:sz w:val="21"/>
          <w:highlight w:val="none"/>
          <w:lang w:val="en-US" w:eastAsia="zh-CN"/>
        </w:rPr>
        <w:t>C. Z. Tang et S. J. Cheng的新鲜或干燥茎。</w:t>
      </w:r>
    </w:p>
    <w:p w14:paraId="4D8A0A7A">
      <w:pPr>
        <w:pStyle w:val="6"/>
        <w:pageBreakBefore w:val="0"/>
        <w:widowControl w:val="0"/>
        <w:kinsoku/>
        <w:wordWrap/>
        <w:overflowPunct/>
        <w:topLinePunct w:val="0"/>
        <w:autoSpaceDE/>
        <w:autoSpaceDN/>
        <w:bidi w:val="0"/>
        <w:adjustRightInd/>
        <w:snapToGrid/>
        <w:spacing w:before="0" w:beforeLines="100" w:after="0" w:afterLines="100"/>
        <w:jc w:val="both"/>
        <w:textAlignment w:val="auto"/>
        <w:outlineLvl w:val="0"/>
        <w:rPr>
          <w:rFonts w:hint="eastAsia" w:ascii="黑体" w:hAnsi="黑体" w:eastAsia="黑体" w:cs="黑体"/>
          <w:bCs/>
          <w:color w:val="000000"/>
          <w:sz w:val="21"/>
          <w:szCs w:val="21"/>
          <w:highlight w:val="none"/>
          <w:lang w:val="en-US" w:eastAsia="zh-CN"/>
        </w:rPr>
      </w:pPr>
      <w:bookmarkStart w:id="47" w:name="_Toc27657"/>
      <w:bookmarkStart w:id="48" w:name="_Toc20016"/>
      <w:bookmarkStart w:id="49" w:name="_Toc3637"/>
      <w:r>
        <w:rPr>
          <w:rFonts w:hint="eastAsia" w:ascii="黑体" w:hAnsi="黑体" w:eastAsia="黑体" w:cs="黑体"/>
          <w:bCs/>
          <w:color w:val="000000"/>
          <w:sz w:val="21"/>
          <w:szCs w:val="21"/>
          <w:highlight w:val="none"/>
          <w:lang w:val="en-US" w:eastAsia="zh-CN"/>
        </w:rPr>
        <w:t>4 集采要求</w:t>
      </w:r>
      <w:bookmarkEnd w:id="47"/>
      <w:bookmarkEnd w:id="48"/>
      <w:bookmarkEnd w:id="49"/>
    </w:p>
    <w:p w14:paraId="677793E9">
      <w:pPr>
        <w:pStyle w:val="3"/>
        <w:pageBreakBefore w:val="0"/>
        <w:kinsoku/>
        <w:wordWrap/>
        <w:overflowPunct/>
        <w:topLinePunct w:val="0"/>
        <w:bidi w:val="0"/>
        <w:adjustRightInd/>
        <w:spacing w:before="157" w:beforeLines="50" w:after="157" w:afterLines="50" w:line="240" w:lineRule="auto"/>
        <w:outlineLvl w:val="1"/>
        <w:rPr>
          <w:rFonts w:hint="eastAsia" w:ascii="黑体" w:hAnsi="黑体" w:eastAsia="黑体" w:cs="黑体"/>
          <w:b w:val="0"/>
          <w:bCs w:val="0"/>
          <w:color w:val="000000"/>
          <w:sz w:val="21"/>
          <w:szCs w:val="21"/>
          <w:highlight w:val="none"/>
          <w:lang w:val="en-US" w:eastAsia="zh-CN"/>
        </w:rPr>
      </w:pPr>
      <w:bookmarkStart w:id="50" w:name="_Toc2507"/>
      <w:bookmarkStart w:id="51" w:name="_Toc3714"/>
      <w:bookmarkStart w:id="52" w:name="_Toc8528"/>
      <w:r>
        <w:rPr>
          <w:rFonts w:hint="eastAsia" w:ascii="黑体" w:hAnsi="黑体" w:eastAsia="黑体" w:cs="黑体"/>
          <w:b w:val="0"/>
          <w:bCs w:val="0"/>
          <w:color w:val="000000"/>
          <w:sz w:val="21"/>
          <w:szCs w:val="21"/>
          <w:highlight w:val="none"/>
          <w:lang w:val="en-US" w:eastAsia="zh-CN"/>
        </w:rPr>
        <w:t>4.1来源</w:t>
      </w:r>
      <w:bookmarkEnd w:id="50"/>
      <w:bookmarkEnd w:id="51"/>
      <w:bookmarkEnd w:id="52"/>
    </w:p>
    <w:p w14:paraId="50C50E97">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4.1.1 基原</w:t>
      </w:r>
    </w:p>
    <w:p w14:paraId="7789522D">
      <w:pPr>
        <w:pStyle w:val="5"/>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rPr>
        <w:t>兰科植物霍山石斛</w:t>
      </w:r>
      <w:r>
        <w:rPr>
          <w:rFonts w:hint="default" w:ascii="Times New Roman" w:hAnsi="Times New Roman" w:eastAsia="宋体" w:cs="Times New Roman"/>
          <w:i/>
          <w:iCs/>
          <w:sz w:val="21"/>
          <w:szCs w:val="21"/>
          <w:highlight w:val="none"/>
        </w:rPr>
        <w:t>Dendrobium huoshanense</w:t>
      </w:r>
      <w:r>
        <w:rPr>
          <w:rFonts w:hint="default" w:ascii="Times New Roman" w:hAnsi="Times New Roman" w:eastAsia="宋体" w:cs="Times New Roman"/>
          <w:sz w:val="21"/>
          <w:szCs w:val="21"/>
          <w:highlight w:val="none"/>
        </w:rPr>
        <w:t xml:space="preserve"> C.Z.Tang et S.J.Cheng的栽培品及其同属植物近似种</w:t>
      </w:r>
      <w:r>
        <w:rPr>
          <w:rFonts w:hint="default" w:ascii="Times New Roman" w:hAnsi="Times New Roman" w:cs="Times New Roman"/>
          <w:sz w:val="21"/>
          <w:szCs w:val="21"/>
          <w:highlight w:val="none"/>
          <w:lang w:eastAsia="zh-CN"/>
        </w:rPr>
        <w:t>。</w:t>
      </w:r>
    </w:p>
    <w:p w14:paraId="7CF88B88">
      <w:pPr>
        <w:pStyle w:val="6"/>
        <w:pageBreakBefore w:val="0"/>
        <w:kinsoku/>
        <w:wordWrap/>
        <w:overflowPunct/>
        <w:topLinePunct w:val="0"/>
        <w:bidi w:val="0"/>
        <w:adjustRightInd/>
        <w:snapToGrid/>
        <w:spacing w:before="157" w:beforeLines="50" w:after="157" w:afterLines="50"/>
        <w:jc w:val="both"/>
        <w:outlineLvl w:val="9"/>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4.1.2 药用部位</w:t>
      </w:r>
    </w:p>
    <w:p w14:paraId="14ED836A">
      <w:pPr>
        <w:pStyle w:val="5"/>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新鲜或干燥茎</w:t>
      </w:r>
      <w:r>
        <w:rPr>
          <w:rFonts w:hint="eastAsia" w:ascii="宋体" w:hAnsi="宋体" w:eastAsia="宋体" w:cs="宋体"/>
          <w:sz w:val="21"/>
          <w:szCs w:val="21"/>
          <w:highlight w:val="none"/>
          <w:lang w:eastAsia="zh-CN"/>
        </w:rPr>
        <w:t>。</w:t>
      </w:r>
    </w:p>
    <w:p w14:paraId="7AA26451">
      <w:pPr>
        <w:pStyle w:val="6"/>
        <w:pageBreakBefore w:val="0"/>
        <w:kinsoku/>
        <w:wordWrap/>
        <w:overflowPunct/>
        <w:topLinePunct w:val="0"/>
        <w:bidi w:val="0"/>
        <w:adjustRightInd/>
        <w:snapToGrid/>
        <w:spacing w:before="157" w:beforeLines="50" w:after="157" w:afterLines="50"/>
        <w:jc w:val="both"/>
        <w:outlineLvl w:val="9"/>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4.1.3 产地</w:t>
      </w:r>
    </w:p>
    <w:p w14:paraId="5C24864E">
      <w:pPr>
        <w:pStyle w:val="5"/>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以安徽省六安市霍山县为中心，核心区域包括大别山脉东段北坡及邻近山区。</w:t>
      </w:r>
    </w:p>
    <w:p w14:paraId="0A4B56D9">
      <w:pPr>
        <w:pageBreakBefore w:val="0"/>
        <w:kinsoku/>
        <w:wordWrap/>
        <w:overflowPunct/>
        <w:topLinePunct w:val="0"/>
        <w:bidi w:val="0"/>
        <w:adjustRightInd/>
        <w:spacing w:before="157" w:beforeLines="50" w:after="157" w:afterLines="50"/>
        <w:outlineLvl w:val="9"/>
        <w:rPr>
          <w:rFonts w:hint="eastAsia" w:ascii="黑体" w:hAnsi="黑体" w:eastAsia="黑体" w:cs="黑体"/>
          <w:b w:val="0"/>
          <w:bCs/>
          <w:sz w:val="21"/>
          <w:szCs w:val="21"/>
          <w:highlight w:val="none"/>
          <w:lang w:val="en-US" w:eastAsia="zh-CN"/>
        </w:rPr>
      </w:pPr>
      <w:r>
        <w:rPr>
          <w:rFonts w:hint="eastAsia" w:ascii="黑体" w:hAnsi="黑体" w:eastAsia="黑体" w:cs="黑体"/>
          <w:b w:val="0"/>
          <w:bCs/>
          <w:sz w:val="21"/>
          <w:szCs w:val="21"/>
          <w:highlight w:val="none"/>
          <w:lang w:val="en-US" w:eastAsia="zh-CN"/>
        </w:rPr>
        <w:t>4.1.4 采收期</w:t>
      </w:r>
    </w:p>
    <w:p w14:paraId="4CA19D23">
      <w:pPr>
        <w:pStyle w:val="5"/>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sz w:val="21"/>
          <w:szCs w:val="21"/>
          <w:highlight w:val="none"/>
          <w:lang w:eastAsia="zh-CN"/>
        </w:rPr>
        <w:t>11月至翌年3月采收。</w:t>
      </w:r>
    </w:p>
    <w:p w14:paraId="707A728F">
      <w:pPr>
        <w:pStyle w:val="6"/>
        <w:pageBreakBefore w:val="0"/>
        <w:kinsoku/>
        <w:wordWrap/>
        <w:overflowPunct/>
        <w:topLinePunct w:val="0"/>
        <w:bidi w:val="0"/>
        <w:adjustRightInd/>
        <w:snapToGrid/>
        <w:spacing w:before="157" w:beforeLines="50" w:after="157" w:afterLines="50"/>
        <w:jc w:val="both"/>
        <w:outlineLvl w:val="9"/>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4.1.5 产地加工</w:t>
      </w:r>
    </w:p>
    <w:p w14:paraId="64322B1C">
      <w:pPr>
        <w:pStyle w:val="5"/>
        <w:keepNext w:val="0"/>
        <w:keepLines w:val="0"/>
        <w:pageBreakBefore w:val="0"/>
        <w:kinsoku/>
        <w:wordWrap/>
        <w:overflowPunct/>
        <w:topLinePunct w:val="0"/>
        <w:autoSpaceDE/>
        <w:autoSpaceDN/>
        <w:bidi w:val="0"/>
        <w:adjustRightInd/>
        <w:snapToGrid/>
        <w:spacing w:line="240" w:lineRule="auto"/>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除去叶、根须及泥沙等杂质，洗净，鲜用，或加热除去叶鞘制成干条；或边加热边扭成螺旋状或弹簧状，干燥，称霍山石斛枫斗。</w:t>
      </w:r>
    </w:p>
    <w:p w14:paraId="399F4000">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bookmarkStart w:id="53" w:name="_Toc6994"/>
      <w:bookmarkStart w:id="54" w:name="_Toc16292"/>
      <w:bookmarkStart w:id="55" w:name="_Toc19848"/>
      <w:r>
        <w:rPr>
          <w:rFonts w:hint="eastAsia" w:ascii="黑体" w:hAnsi="黑体" w:eastAsia="黑体" w:cs="黑体"/>
          <w:bCs/>
          <w:color w:val="000000"/>
          <w:sz w:val="21"/>
          <w:szCs w:val="21"/>
          <w:highlight w:val="none"/>
          <w:lang w:val="en-US" w:eastAsia="zh-CN"/>
        </w:rPr>
        <w:t>4.2 性状</w:t>
      </w:r>
      <w:bookmarkEnd w:id="53"/>
      <w:bookmarkEnd w:id="54"/>
      <w:bookmarkEnd w:id="55"/>
    </w:p>
    <w:p w14:paraId="62AC2825">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4.2.1 形状</w:t>
      </w:r>
    </w:p>
    <w:p w14:paraId="01954C62">
      <w:pPr>
        <w:pStyle w:val="5"/>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干条呈直条状或不规则弯曲形。</w:t>
      </w:r>
    </w:p>
    <w:p w14:paraId="3120216A">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4.2.2 大小</w:t>
      </w:r>
    </w:p>
    <w:p w14:paraId="2382258F">
      <w:pPr>
        <w:pStyle w:val="5"/>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eastAsia="宋体" w:cs="Times New Roman"/>
          <w:sz w:val="21"/>
          <w:szCs w:val="21"/>
          <w:highlight w:val="none"/>
        </w:rPr>
        <w:t>霍山石斛</w:t>
      </w:r>
      <w:r>
        <w:rPr>
          <w:rFonts w:hint="eastAsia" w:ascii="Times New Roman" w:hAnsi="Times New Roman" w:cs="Times New Roman"/>
          <w:sz w:val="21"/>
          <w:szCs w:val="21"/>
          <w:highlight w:val="none"/>
          <w:lang w:val="en-US" w:eastAsia="zh-CN"/>
        </w:rPr>
        <w:t>统货</w:t>
      </w:r>
      <w:r>
        <w:rPr>
          <w:rFonts w:hint="eastAsia" w:ascii="宋体" w:hAnsi="宋体" w:eastAsia="宋体" w:cs="宋体"/>
          <w:sz w:val="18"/>
          <w:szCs w:val="18"/>
          <w:highlight w:val="none"/>
          <w:lang w:val="en-US" w:eastAsia="zh-CN"/>
        </w:rPr>
        <w:t>长2～8cm，直径1～4mm</w:t>
      </w:r>
      <w:r>
        <w:rPr>
          <w:rFonts w:hint="eastAsia" w:cs="宋体"/>
          <w:sz w:val="18"/>
          <w:szCs w:val="18"/>
          <w:highlight w:val="none"/>
          <w:lang w:val="en-US" w:eastAsia="zh-CN"/>
        </w:rPr>
        <w:t>，长短、大小不一；选货和精品药材</w:t>
      </w:r>
      <w:r>
        <w:rPr>
          <w:rFonts w:hint="eastAsia" w:ascii="宋体" w:hAnsi="宋体" w:eastAsia="宋体" w:cs="宋体"/>
          <w:sz w:val="18"/>
          <w:szCs w:val="18"/>
          <w:highlight w:val="none"/>
          <w:lang w:val="en-US" w:eastAsia="zh-CN"/>
        </w:rPr>
        <w:t>长</w:t>
      </w:r>
      <w:r>
        <w:rPr>
          <w:rFonts w:hint="eastAsia" w:cs="宋体"/>
          <w:sz w:val="18"/>
          <w:szCs w:val="18"/>
          <w:highlight w:val="none"/>
          <w:lang w:val="en-US" w:eastAsia="zh-CN"/>
        </w:rPr>
        <w:t>4</w:t>
      </w:r>
      <w:r>
        <w:rPr>
          <w:rFonts w:hint="eastAsia" w:ascii="宋体" w:hAnsi="宋体" w:eastAsia="宋体" w:cs="宋体"/>
          <w:sz w:val="18"/>
          <w:szCs w:val="18"/>
          <w:highlight w:val="none"/>
          <w:lang w:val="en-US" w:eastAsia="zh-CN"/>
        </w:rPr>
        <w:t>～8cm，直径1～4mm</w:t>
      </w:r>
      <w:r>
        <w:rPr>
          <w:rFonts w:hint="eastAsia" w:cs="宋体"/>
          <w:sz w:val="18"/>
          <w:szCs w:val="18"/>
          <w:highlight w:val="none"/>
          <w:lang w:val="en-US" w:eastAsia="zh-CN"/>
        </w:rPr>
        <w:t>，长短、大小均匀</w:t>
      </w:r>
      <w:r>
        <w:rPr>
          <w:rFonts w:hint="default" w:ascii="Times New Roman" w:hAnsi="Times New Roman" w:eastAsia="宋体" w:cs="Times New Roman"/>
          <w:sz w:val="21"/>
          <w:szCs w:val="21"/>
          <w:highlight w:val="none"/>
          <w:lang w:val="en-US" w:eastAsia="zh-CN"/>
        </w:rPr>
        <w:t>。</w:t>
      </w:r>
    </w:p>
    <w:p w14:paraId="098CA8E2">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 w:val="0"/>
          <w:bCs/>
          <w:color w:val="000000"/>
          <w:sz w:val="21"/>
          <w:szCs w:val="21"/>
          <w:highlight w:val="none"/>
          <w:lang w:val="en-US" w:eastAsia="zh-CN"/>
        </w:rPr>
      </w:pPr>
      <w:r>
        <w:rPr>
          <w:rFonts w:hint="eastAsia" w:ascii="黑体" w:hAnsi="黑体" w:eastAsia="黑体" w:cs="黑体"/>
          <w:b w:val="0"/>
          <w:bCs/>
          <w:color w:val="000000"/>
          <w:sz w:val="21"/>
          <w:szCs w:val="21"/>
          <w:highlight w:val="none"/>
          <w:lang w:val="en-US" w:eastAsia="zh-CN"/>
        </w:rPr>
        <w:t>4.2.3 表面</w:t>
      </w:r>
    </w:p>
    <w:p w14:paraId="0697221B">
      <w:pPr>
        <w:pStyle w:val="5"/>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表面淡黄绿色至黄绿色，偶有黄褐色斑块，有细纵纹，节明显，节上有的可见残留的灰白色膜质叶鞘；一端可见茎基部残留的短须根或须根痕，另一端为茎尖，较细。</w:t>
      </w:r>
    </w:p>
    <w:p w14:paraId="51CB312F">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4.2.4 断面</w:t>
      </w:r>
    </w:p>
    <w:p w14:paraId="2A80A55A">
      <w:pPr>
        <w:pStyle w:val="5"/>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断面平坦，灰黄色至灰绿色，略角质状。</w:t>
      </w:r>
    </w:p>
    <w:p w14:paraId="73C8D7A0">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4.2.5 质地</w:t>
      </w:r>
    </w:p>
    <w:p w14:paraId="6C94CE40">
      <w:pPr>
        <w:pStyle w:val="5"/>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质硬而脆，易折断。</w:t>
      </w:r>
    </w:p>
    <w:p w14:paraId="21455956">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4.2.6 气味</w:t>
      </w:r>
    </w:p>
    <w:p w14:paraId="55AA3A1A">
      <w:pPr>
        <w:pStyle w:val="5"/>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气微，味淡，嚼之有黏性。</w:t>
      </w:r>
    </w:p>
    <w:p w14:paraId="0E728601">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bookmarkStart w:id="56" w:name="_Toc9492"/>
      <w:bookmarkStart w:id="57" w:name="_Toc286"/>
      <w:bookmarkStart w:id="58" w:name="_Toc10536"/>
      <w:r>
        <w:rPr>
          <w:rFonts w:hint="eastAsia" w:ascii="黑体" w:hAnsi="黑体" w:eastAsia="黑体" w:cs="黑体"/>
          <w:bCs/>
          <w:color w:val="000000"/>
          <w:sz w:val="21"/>
          <w:szCs w:val="21"/>
          <w:highlight w:val="none"/>
          <w:lang w:val="en-US" w:eastAsia="zh-CN"/>
        </w:rPr>
        <w:t>4.3 鉴别</w:t>
      </w:r>
      <w:bookmarkEnd w:id="56"/>
      <w:bookmarkEnd w:id="57"/>
      <w:bookmarkEnd w:id="58"/>
    </w:p>
    <w:p w14:paraId="55B3A596">
      <w:pPr>
        <w:pStyle w:val="5"/>
        <w:pageBreakBefore w:val="0"/>
        <w:kinsoku/>
        <w:wordWrap/>
        <w:overflowPunct/>
        <w:topLinePunct w:val="0"/>
        <w:bidi w:val="0"/>
        <w:adjustRightInd/>
        <w:spacing w:before="157" w:beforeLines="50" w:after="157" w:afterLines="50"/>
        <w:ind w:left="0" w:leftChars="0" w:firstLine="0" w:firstLineChars="0"/>
        <w:rPr>
          <w:rFonts w:hint="default"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4.3.1 显微鉴别</w:t>
      </w:r>
    </w:p>
    <w:p w14:paraId="2D8A62D3">
      <w:pPr>
        <w:pStyle w:val="5"/>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本品横切面：金钗石斛  表皮细胞1列，扁平，外被鲜黄色角质层。基本组织细胞大小较悬殊，有壁孔，散在多数外韧型维管束，排成</w:t>
      </w:r>
      <w:r>
        <w:rPr>
          <w:rFonts w:hint="eastAsia" w:cs="宋体"/>
          <w:sz w:val="21"/>
          <w:szCs w:val="21"/>
          <w:highlight w:val="none"/>
          <w:lang w:val="en-US" w:eastAsia="zh-CN"/>
        </w:rPr>
        <w:t>5</w:t>
      </w:r>
      <w:r>
        <w:rPr>
          <w:rFonts w:hint="eastAsia" w:ascii="宋体" w:hAnsi="宋体" w:eastAsia="宋体" w:cs="宋体"/>
          <w:sz w:val="21"/>
          <w:szCs w:val="21"/>
          <w:highlight w:val="none"/>
        </w:rPr>
        <w:t>～8圈。维管束外侧纤维束新月形或半圆形，其外侧薄壁细胞有的含类圆形硅质块，木质部有1～3个导管直径较大。含草酸钙针晶细胞多见于维管束旁。</w:t>
      </w:r>
    </w:p>
    <w:p w14:paraId="73BCA17E">
      <w:pPr>
        <w:pStyle w:val="5"/>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表皮细胞1列，扁平，外壁及侧壁稍增厚，微木化，外被黄色或橘黄色角质层，有的外层可见无色的薄壁细胞组成的叶鞘层。基本薄壁组织细胞多角形，大小相似，其间散在9～47个维管束，近维管束处薄壁细胞较小，维管束为有限外韧型，维管束鞘纤维群呈单帽状，偶成双帽状，纤维1～2列，外侧纤维直径通常小于内侧纤维，有的外侧小型薄壁细胞中含有硅质块。草酸钙针晶束多见于近表皮处薄壁细胞或近表皮处维管束旁的薄壁细胞中。</w:t>
      </w:r>
    </w:p>
    <w:p w14:paraId="229CB40B">
      <w:pPr>
        <w:pStyle w:val="5"/>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粉末灰绿色或灰黄色。表皮细胞表面观呈长多角形或类多角形，垂周壁连珠状增厚</w:t>
      </w:r>
      <w:r>
        <w:rPr>
          <w:rFonts w:hint="eastAsia" w:cs="宋体"/>
          <w:sz w:val="21"/>
          <w:szCs w:val="21"/>
          <w:highlight w:val="none"/>
          <w:lang w:eastAsia="zh-CN"/>
        </w:rPr>
        <w:t>，</w:t>
      </w:r>
      <w:r>
        <w:rPr>
          <w:rFonts w:hint="eastAsia" w:ascii="宋体" w:hAnsi="宋体" w:eastAsia="宋体" w:cs="宋体"/>
          <w:sz w:val="21"/>
          <w:szCs w:val="21"/>
          <w:highlight w:val="none"/>
        </w:rPr>
        <w:t>角质层碎片黄色。束鞘纤维成束或离散，长梭形或细长，壁较厚，纹孔稀少，周围具排成纵行的含硅质块的小细胞。木纤维细长，末端尖或钝圆，壁稍厚。网纹导管、梯纹导管或具缘纹孔导管直径12～50μm。草酸钙针晶成束或散在。</w:t>
      </w:r>
    </w:p>
    <w:p w14:paraId="1BB38006">
      <w:pPr>
        <w:pStyle w:val="5"/>
        <w:pageBreakBefore w:val="0"/>
        <w:kinsoku/>
        <w:wordWrap/>
        <w:overflowPunct/>
        <w:topLinePunct w:val="0"/>
        <w:bidi w:val="0"/>
        <w:adjustRightInd/>
        <w:spacing w:before="157" w:beforeLines="50" w:after="157" w:afterLines="50"/>
        <w:ind w:left="0" w:leftChars="0" w:firstLine="0" w:firstLineChars="0"/>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4.3.2 薄层鉴别</w:t>
      </w:r>
    </w:p>
    <w:p w14:paraId="502E65C8">
      <w:pPr>
        <w:pStyle w:val="5"/>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宋体" w:hAnsi="宋体" w:eastAsia="宋体" w:cs="宋体"/>
          <w:sz w:val="21"/>
          <w:szCs w:val="21"/>
          <w:highlight w:val="none"/>
        </w:rPr>
      </w:pPr>
      <w:r>
        <w:rPr>
          <w:rFonts w:hint="default" w:ascii="Times New Roman" w:hAnsi="Times New Roman" w:eastAsia="宋体" w:cs="Times New Roman"/>
          <w:sz w:val="21"/>
          <w:szCs w:val="21"/>
          <w:highlight w:val="none"/>
        </w:rPr>
        <w:t>　</w:t>
      </w:r>
      <w:r>
        <w:rPr>
          <w:rFonts w:hint="eastAsia" w:ascii="宋体" w:hAnsi="宋体" w:eastAsia="宋体" w:cs="宋体"/>
          <w:sz w:val="21"/>
          <w:szCs w:val="21"/>
          <w:highlight w:val="none"/>
        </w:rPr>
        <w:t>　取本品（鲜品干燥后粉碎）粉末（过二号筛）1g，加无水甲醇20ml，超声处理30分钟，滤过，滤液回收溶剂至干，残渣加水15ml使溶解，用石油醚（60～90℃）洗涤2次，每次20ml，弃去石油醚液，水液用乙酸乙酯洗涤2次，每次20ml，弃去乙酸乙酯液，用水饱和正丁醇振摇提取2次，每次20ml，合并正丁醇液，回收溶剂至干，残渣加无水甲醇1ml使溶解，作为供试品溶液。另取霍山石斛对照药材1g，同法制成对照药材溶液。再取夏佛塔苷对照品适量，加甲醇制成每1ml含0.5mg的溶液，作为对照品溶液。照薄层色谱法（通则0502）试验，吸取上述三种溶液各3～5μl，分别点于同一聚酰胺薄膜上，以乙醇-丁酮-乙酰丙酮-水（4:4:1:17）为展开剂，20℃以下展开，取出，晾干，在105℃烘干，取出，喷以5%三氯化铝乙醇溶液，在105℃加热约3分钟，取出，置紫外光灯（365nm）下检视。供试品色谱中，在与对照药材色谱和对照品色谱相应的位置上，显相同颜色的荧光斑点。</w:t>
      </w:r>
    </w:p>
    <w:p w14:paraId="4FA8F814">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bookmarkStart w:id="59" w:name="_Toc25302"/>
      <w:bookmarkStart w:id="60" w:name="_Toc2692"/>
      <w:bookmarkStart w:id="61" w:name="_Toc8832"/>
      <w:r>
        <w:rPr>
          <w:rFonts w:hint="eastAsia" w:ascii="黑体" w:hAnsi="黑体" w:eastAsia="黑体" w:cs="黑体"/>
          <w:bCs/>
          <w:color w:val="000000"/>
          <w:sz w:val="21"/>
          <w:szCs w:val="21"/>
          <w:highlight w:val="none"/>
          <w:lang w:val="en-US" w:eastAsia="zh-CN"/>
        </w:rPr>
        <w:t>4.4 特征图谱</w:t>
      </w:r>
    </w:p>
    <w:p w14:paraId="5F5DB377">
      <w:pPr>
        <w:pStyle w:val="5"/>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bCs/>
          <w:color w:val="000000"/>
          <w:sz w:val="21"/>
          <w:szCs w:val="21"/>
          <w:lang w:val="en-US" w:eastAsia="zh-CN"/>
        </w:rPr>
      </w:pPr>
      <w:r>
        <w:rPr>
          <w:rFonts w:hint="default" w:ascii="Times New Roman" w:hAnsi="Times New Roman" w:cs="Times New Roman"/>
          <w:bCs/>
          <w:color w:val="000000"/>
          <w:sz w:val="21"/>
          <w:szCs w:val="21"/>
          <w:lang w:val="en-US" w:eastAsia="zh-CN"/>
        </w:rPr>
        <w:t>照高效液相色谱法（通则0512测定）</w:t>
      </w:r>
      <w:r>
        <w:rPr>
          <w:rFonts w:hint="eastAsia" w:ascii="Times New Roman" w:hAnsi="Times New Roman" w:cs="Times New Roman"/>
          <w:bCs/>
          <w:color w:val="000000"/>
          <w:sz w:val="21"/>
          <w:szCs w:val="21"/>
          <w:lang w:val="en-US" w:eastAsia="zh-CN"/>
        </w:rPr>
        <w:t>，供试品色谱中应呈现5个特征峰，并应与对照药材参照物色谱峰中的5个特征峰保留时间相对应，其中峰1应与对照品参照物峰保留时间相对应。</w:t>
      </w:r>
    </w:p>
    <w:p w14:paraId="4FEC6D68">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4.5检查</w:t>
      </w:r>
      <w:bookmarkEnd w:id="59"/>
      <w:bookmarkEnd w:id="60"/>
      <w:bookmarkEnd w:id="61"/>
    </w:p>
    <w:p w14:paraId="6E2198FA">
      <w:pPr>
        <w:pStyle w:val="2"/>
        <w:pageBreakBefore w:val="0"/>
        <w:kinsoku/>
        <w:wordWrap/>
        <w:overflowPunct/>
        <w:topLinePunct w:val="0"/>
        <w:bidi w:val="0"/>
        <w:adjustRightInd/>
        <w:spacing w:before="157" w:beforeLines="50" w:after="157" w:afterLines="50"/>
        <w:rPr>
          <w:rFonts w:hint="eastAsia" w:ascii="黑体" w:hAnsi="黑体" w:eastAsia="黑体" w:cs="黑体"/>
          <w:sz w:val="21"/>
          <w:szCs w:val="21"/>
          <w:highlight w:val="none"/>
          <w:lang w:val="en-US" w:eastAsia="zh-CN"/>
        </w:rPr>
      </w:pPr>
      <w:bookmarkStart w:id="62" w:name="_Toc5712"/>
      <w:bookmarkStart w:id="63" w:name="_Toc3783"/>
      <w:bookmarkStart w:id="64" w:name="_Toc6999"/>
      <w:r>
        <w:rPr>
          <w:rFonts w:hint="eastAsia" w:ascii="黑体" w:hAnsi="黑体" w:eastAsia="黑体" w:cs="黑体"/>
          <w:sz w:val="21"/>
          <w:szCs w:val="21"/>
          <w:highlight w:val="none"/>
          <w:lang w:val="en-US" w:eastAsia="zh-CN"/>
        </w:rPr>
        <w:t>4.</w:t>
      </w:r>
      <w:r>
        <w:rPr>
          <w:rFonts w:hint="eastAsia" w:cs="黑体"/>
          <w:sz w:val="21"/>
          <w:szCs w:val="21"/>
          <w:highlight w:val="none"/>
          <w:lang w:val="en-US" w:eastAsia="zh-CN"/>
        </w:rPr>
        <w:t>5</w:t>
      </w:r>
      <w:r>
        <w:rPr>
          <w:rFonts w:hint="eastAsia" w:ascii="黑体" w:hAnsi="黑体" w:eastAsia="黑体" w:cs="黑体"/>
          <w:sz w:val="21"/>
          <w:szCs w:val="21"/>
          <w:highlight w:val="none"/>
          <w:lang w:val="en-US" w:eastAsia="zh-CN"/>
        </w:rPr>
        <w:t>.1 水分</w:t>
      </w:r>
      <w:bookmarkEnd w:id="62"/>
      <w:bookmarkEnd w:id="63"/>
      <w:bookmarkEnd w:id="64"/>
    </w:p>
    <w:p w14:paraId="3FDCF033">
      <w:pPr>
        <w:pStyle w:val="5"/>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eastAsia="宋体" w:cs="Times New Roman"/>
          <w:sz w:val="21"/>
          <w:szCs w:val="21"/>
          <w:highlight w:val="none"/>
          <w:lang w:val="en-US" w:eastAsia="zh-CN"/>
        </w:rPr>
      </w:pPr>
      <w:r>
        <w:rPr>
          <w:rFonts w:hint="default" w:ascii="Times New Roman" w:hAnsi="Times New Roman" w:cs="Times New Roman"/>
          <w:bCs/>
          <w:color w:val="000000"/>
          <w:sz w:val="21"/>
          <w:szCs w:val="21"/>
          <w:lang w:eastAsia="zh-CN"/>
        </w:rPr>
        <w:t>照</w:t>
      </w:r>
      <w:r>
        <w:rPr>
          <w:rFonts w:hint="default" w:ascii="Times New Roman" w:hAnsi="Times New Roman" w:eastAsia="宋体" w:cs="Times New Roman"/>
          <w:bCs/>
          <w:color w:val="000000"/>
          <w:sz w:val="21"/>
          <w:szCs w:val="21"/>
        </w:rPr>
        <w:t>《中华人民共和国药典》2020版</w:t>
      </w:r>
      <w:r>
        <w:rPr>
          <w:rFonts w:hint="default" w:ascii="Times New Roman" w:hAnsi="Times New Roman" w:eastAsia="宋体" w:cs="Times New Roman"/>
          <w:sz w:val="21"/>
          <w:szCs w:val="21"/>
          <w:highlight w:val="none"/>
        </w:rPr>
        <w:t>通则0832第二法</w:t>
      </w:r>
      <w:r>
        <w:rPr>
          <w:rFonts w:hint="default" w:ascii="Times New Roman" w:hAnsi="Times New Roman" w:cs="Times New Roman"/>
          <w:sz w:val="21"/>
          <w:szCs w:val="21"/>
          <w:highlight w:val="none"/>
          <w:lang w:eastAsia="zh-CN"/>
        </w:rPr>
        <w:t>测定，</w:t>
      </w:r>
      <w:r>
        <w:rPr>
          <w:rFonts w:hint="default" w:ascii="Times New Roman" w:hAnsi="Times New Roman" w:eastAsia="宋体" w:cs="Times New Roman"/>
          <w:sz w:val="21"/>
          <w:szCs w:val="21"/>
          <w:highlight w:val="none"/>
        </w:rPr>
        <w:t>干石斛不得过12.0%。</w:t>
      </w:r>
    </w:p>
    <w:p w14:paraId="3E8D83EC">
      <w:pPr>
        <w:pStyle w:val="2"/>
        <w:pageBreakBefore w:val="0"/>
        <w:kinsoku/>
        <w:wordWrap/>
        <w:overflowPunct/>
        <w:topLinePunct w:val="0"/>
        <w:bidi w:val="0"/>
        <w:adjustRightInd/>
        <w:spacing w:before="157" w:beforeLines="50" w:after="157" w:afterLines="50"/>
        <w:rPr>
          <w:rFonts w:hint="eastAsia" w:ascii="黑体" w:hAnsi="黑体" w:eastAsia="黑体" w:cs="黑体"/>
          <w:bCs/>
          <w:color w:val="auto"/>
          <w:sz w:val="21"/>
          <w:szCs w:val="21"/>
          <w:highlight w:val="none"/>
          <w:lang w:val="en-US" w:eastAsia="zh-CN"/>
        </w:rPr>
      </w:pPr>
      <w:bookmarkStart w:id="65" w:name="_Toc28200"/>
      <w:bookmarkStart w:id="66" w:name="_Toc11916"/>
      <w:bookmarkStart w:id="67" w:name="_Toc18390"/>
      <w:r>
        <w:rPr>
          <w:rFonts w:hint="eastAsia" w:ascii="黑体" w:hAnsi="黑体" w:eastAsia="黑体" w:cs="黑体"/>
          <w:bCs/>
          <w:color w:val="auto"/>
          <w:sz w:val="21"/>
          <w:szCs w:val="21"/>
          <w:highlight w:val="none"/>
          <w:lang w:val="en-US" w:eastAsia="zh-CN"/>
        </w:rPr>
        <w:t xml:space="preserve">4.4.2 </w:t>
      </w:r>
      <w:r>
        <w:rPr>
          <w:rFonts w:hint="eastAsia" w:ascii="黑体" w:hAnsi="黑体" w:eastAsia="黑体" w:cs="黑体"/>
          <w:color w:val="auto"/>
          <w:sz w:val="21"/>
          <w:szCs w:val="21"/>
          <w:highlight w:val="none"/>
        </w:rPr>
        <w:t>总</w:t>
      </w:r>
      <w:r>
        <w:rPr>
          <w:rFonts w:hint="eastAsia" w:ascii="黑体" w:hAnsi="黑体" w:eastAsia="黑体" w:cs="黑体"/>
          <w:bCs/>
          <w:color w:val="auto"/>
          <w:sz w:val="21"/>
          <w:szCs w:val="21"/>
          <w:highlight w:val="none"/>
          <w:lang w:val="en-US" w:eastAsia="zh-CN"/>
        </w:rPr>
        <w:t>灰分</w:t>
      </w:r>
      <w:bookmarkEnd w:id="65"/>
      <w:bookmarkEnd w:id="66"/>
      <w:bookmarkEnd w:id="67"/>
    </w:p>
    <w:p w14:paraId="001F8EE3">
      <w:pPr>
        <w:pStyle w:val="5"/>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 w:val="21"/>
          <w:szCs w:val="21"/>
          <w:highlight w:val="none"/>
          <w:lang w:val="en-US" w:eastAsia="zh-CN"/>
        </w:rPr>
      </w:pPr>
      <w:r>
        <w:rPr>
          <w:rFonts w:hint="default" w:ascii="Times New Roman" w:hAnsi="Times New Roman" w:cs="Times New Roman"/>
          <w:bCs/>
          <w:color w:val="000000"/>
          <w:sz w:val="21"/>
          <w:szCs w:val="21"/>
          <w:lang w:eastAsia="zh-CN"/>
        </w:rPr>
        <w:t>照</w:t>
      </w:r>
      <w:r>
        <w:rPr>
          <w:rFonts w:hint="default" w:ascii="Times New Roman" w:hAnsi="Times New Roman" w:eastAsia="宋体" w:cs="Times New Roman"/>
          <w:bCs/>
          <w:color w:val="000000"/>
          <w:sz w:val="21"/>
          <w:szCs w:val="21"/>
        </w:rPr>
        <w:t>《中华人民共和国药典》2020版</w:t>
      </w:r>
      <w:r>
        <w:rPr>
          <w:rFonts w:hint="default" w:ascii="Times New Roman" w:hAnsi="Times New Roman" w:eastAsia="宋体" w:cs="Times New Roman"/>
          <w:sz w:val="21"/>
          <w:szCs w:val="21"/>
          <w:highlight w:val="none"/>
        </w:rPr>
        <w:t>通则</w:t>
      </w:r>
      <w:r>
        <w:rPr>
          <w:rFonts w:hint="eastAsia" w:ascii="Times New Roman" w:hAnsi="Times New Roman" w:cs="Times New Roman"/>
          <w:sz w:val="21"/>
          <w:szCs w:val="21"/>
          <w:highlight w:val="none"/>
          <w:lang w:val="en-US" w:eastAsia="zh-CN"/>
        </w:rPr>
        <w:t>2302</w:t>
      </w:r>
      <w:r>
        <w:rPr>
          <w:rFonts w:hint="eastAsia" w:ascii="Times New Roman" w:hAnsi="Times New Roman" w:cs="Times New Roman"/>
          <w:sz w:val="21"/>
          <w:szCs w:val="21"/>
          <w:highlight w:val="none"/>
          <w:lang w:eastAsia="zh-CN"/>
        </w:rPr>
        <w:t>法测定，</w:t>
      </w:r>
      <w:r>
        <w:rPr>
          <w:rFonts w:hint="default" w:ascii="Times New Roman" w:hAnsi="Times New Roman" w:eastAsia="宋体" w:cs="Times New Roman"/>
          <w:sz w:val="21"/>
          <w:szCs w:val="21"/>
          <w:highlight w:val="none"/>
        </w:rPr>
        <w:t>不得过</w:t>
      </w:r>
      <w:r>
        <w:rPr>
          <w:rFonts w:hint="default" w:ascii="Times New Roman" w:hAnsi="Times New Roman" w:eastAsia="宋体" w:cs="Times New Roman"/>
          <w:sz w:val="21"/>
          <w:szCs w:val="21"/>
          <w:highlight w:val="none"/>
          <w:lang w:val="en-US" w:eastAsia="zh-CN"/>
        </w:rPr>
        <w:t>7</w:t>
      </w:r>
      <w:r>
        <w:rPr>
          <w:rFonts w:hint="default" w:ascii="Times New Roman" w:hAnsi="Times New Roman" w:eastAsia="宋体" w:cs="Times New Roman"/>
          <w:sz w:val="21"/>
          <w:szCs w:val="21"/>
          <w:highlight w:val="none"/>
        </w:rPr>
        <w:t>.0%</w:t>
      </w:r>
      <w:r>
        <w:rPr>
          <w:rFonts w:hint="default" w:ascii="Times New Roman" w:hAnsi="Times New Roman" w:cs="Times New Roman"/>
          <w:sz w:val="21"/>
          <w:szCs w:val="21"/>
          <w:highlight w:val="none"/>
          <w:lang w:eastAsia="zh-CN"/>
        </w:rPr>
        <w:t>。</w:t>
      </w:r>
    </w:p>
    <w:p w14:paraId="5FBCE761">
      <w:pPr>
        <w:pStyle w:val="6"/>
        <w:keepNext w:val="0"/>
        <w:keepLines w:val="0"/>
        <w:pageBreakBefore w:val="0"/>
        <w:kinsoku/>
        <w:wordWrap/>
        <w:overflowPunct/>
        <w:topLinePunct w:val="0"/>
        <w:bidi w:val="0"/>
        <w:adjustRightInd/>
        <w:snapToGrid/>
        <w:spacing w:before="157" w:beforeLines="50" w:after="157" w:afterLines="50"/>
        <w:jc w:val="both"/>
        <w:outlineLvl w:val="1"/>
        <w:rPr>
          <w:rFonts w:hint="default" w:ascii="黑体" w:hAnsi="黑体" w:eastAsia="黑体"/>
          <w:bCs/>
          <w:color w:val="000000"/>
          <w:sz w:val="21"/>
          <w:szCs w:val="21"/>
          <w:lang w:val="en-US" w:eastAsia="zh-CN"/>
        </w:rPr>
      </w:pPr>
      <w:bookmarkStart w:id="68" w:name="_Toc32181"/>
      <w:bookmarkStart w:id="69" w:name="_Toc5952"/>
      <w:bookmarkStart w:id="70" w:name="_Toc22744"/>
      <w:bookmarkStart w:id="71" w:name="_Toc7162"/>
      <w:r>
        <w:rPr>
          <w:rFonts w:hint="eastAsia" w:ascii="黑体" w:hAnsi="黑体" w:eastAsia="黑体"/>
          <w:bCs/>
          <w:color w:val="000000"/>
          <w:sz w:val="21"/>
          <w:szCs w:val="21"/>
          <w:lang w:val="en-US" w:eastAsia="zh-CN"/>
        </w:rPr>
        <w:t>4.4.3 二氧化硫残留</w:t>
      </w:r>
      <w:bookmarkEnd w:id="68"/>
      <w:bookmarkEnd w:id="69"/>
      <w:bookmarkEnd w:id="70"/>
      <w:bookmarkEnd w:id="71"/>
    </w:p>
    <w:p w14:paraId="0634564E">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ascii="Times New Roman" w:hAnsi="Times New Roman" w:eastAsia="宋体" w:cs="Times New Roman"/>
          <w:bCs/>
          <w:color w:val="000000"/>
          <w:sz w:val="21"/>
          <w:szCs w:val="21"/>
          <w:lang w:val="en-US" w:eastAsia="zh-CN"/>
        </w:rPr>
      </w:pPr>
      <w:r>
        <w:rPr>
          <w:rFonts w:hint="default" w:ascii="Times New Roman" w:hAnsi="Times New Roman" w:eastAsia="宋体" w:cs="Times New Roman"/>
          <w:bCs/>
          <w:color w:val="000000"/>
          <w:sz w:val="21"/>
          <w:szCs w:val="21"/>
          <w:lang w:val="en-US" w:eastAsia="zh-CN"/>
        </w:rPr>
        <w:t>照</w:t>
      </w:r>
      <w:r>
        <w:rPr>
          <w:rFonts w:hint="default" w:ascii="Times New Roman" w:hAnsi="Times New Roman" w:cs="Times New Roman"/>
          <w:bCs/>
          <w:color w:val="000000"/>
          <w:sz w:val="21"/>
          <w:szCs w:val="21"/>
        </w:rPr>
        <w:t>《中华人民共和国药典</w:t>
      </w:r>
      <w:r>
        <w:rPr>
          <w:rFonts w:hint="eastAsia" w:ascii="宋体" w:hAnsi="宋体" w:eastAsia="宋体" w:cs="宋体"/>
          <w:bCs/>
          <w:color w:val="000000"/>
          <w:sz w:val="21"/>
          <w:szCs w:val="21"/>
        </w:rPr>
        <w:t>》2020版</w:t>
      </w:r>
      <w:r>
        <w:rPr>
          <w:rFonts w:hint="eastAsia" w:ascii="宋体" w:hAnsi="宋体" w:eastAsia="宋体" w:cs="宋体"/>
          <w:bCs/>
          <w:color w:val="000000"/>
          <w:sz w:val="21"/>
          <w:szCs w:val="21"/>
          <w:lang w:val="en-US" w:eastAsia="zh-CN"/>
        </w:rPr>
        <w:t>通则2331二氧化硫残留量测定法测定，不得过150mg/kg。</w:t>
      </w:r>
    </w:p>
    <w:p w14:paraId="7EA84011">
      <w:pPr>
        <w:pStyle w:val="6"/>
        <w:keepNext w:val="0"/>
        <w:keepLines w:val="0"/>
        <w:pageBreakBefore w:val="0"/>
        <w:kinsoku/>
        <w:wordWrap/>
        <w:overflowPunct/>
        <w:topLinePunct w:val="0"/>
        <w:bidi w:val="0"/>
        <w:adjustRightInd/>
        <w:snapToGrid/>
        <w:spacing w:before="157" w:beforeLines="50" w:after="157" w:afterLines="50"/>
        <w:jc w:val="both"/>
        <w:outlineLvl w:val="1"/>
        <w:rPr>
          <w:rFonts w:hint="default" w:ascii="黑体" w:hAnsi="黑体" w:eastAsia="黑体"/>
          <w:bCs/>
          <w:color w:val="000000"/>
          <w:sz w:val="21"/>
          <w:szCs w:val="21"/>
          <w:lang w:val="en-US" w:eastAsia="zh-CN"/>
        </w:rPr>
      </w:pPr>
      <w:bookmarkStart w:id="72" w:name="_Toc22721"/>
      <w:bookmarkStart w:id="73" w:name="_Toc15704"/>
      <w:bookmarkStart w:id="74" w:name="_Toc12303"/>
      <w:r>
        <w:rPr>
          <w:rFonts w:hint="eastAsia" w:ascii="黑体" w:hAnsi="黑体" w:eastAsia="黑体"/>
          <w:bCs/>
          <w:color w:val="000000"/>
          <w:sz w:val="21"/>
          <w:szCs w:val="21"/>
          <w:lang w:val="en-US" w:eastAsia="zh-CN"/>
        </w:rPr>
        <w:t>4.4.4 重金属</w:t>
      </w:r>
      <w:bookmarkEnd w:id="72"/>
      <w:bookmarkEnd w:id="73"/>
      <w:bookmarkEnd w:id="74"/>
      <w:r>
        <w:rPr>
          <w:rFonts w:hint="eastAsia" w:ascii="黑体" w:hAnsi="黑体" w:eastAsia="黑体"/>
          <w:bCs/>
          <w:color w:val="000000"/>
          <w:sz w:val="21"/>
          <w:szCs w:val="21"/>
          <w:lang w:val="en-US" w:eastAsia="zh-CN"/>
        </w:rPr>
        <w:t>残留</w:t>
      </w:r>
    </w:p>
    <w:p w14:paraId="2E4A02D2">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000000"/>
          <w:sz w:val="21"/>
          <w:szCs w:val="21"/>
          <w:lang w:val="en-US" w:eastAsia="zh-CN"/>
        </w:rPr>
      </w:pPr>
      <w:r>
        <w:rPr>
          <w:rFonts w:hint="eastAsia" w:ascii="宋体" w:hAnsi="宋体" w:eastAsia="宋体" w:cs="宋体"/>
          <w:bCs/>
          <w:color w:val="000000"/>
          <w:sz w:val="21"/>
          <w:szCs w:val="21"/>
          <w:lang w:val="en-US" w:eastAsia="zh-CN"/>
        </w:rPr>
        <w:t>照</w:t>
      </w:r>
      <w:r>
        <w:rPr>
          <w:rFonts w:hint="eastAsia" w:ascii="宋体" w:hAnsi="宋体" w:eastAsia="宋体" w:cs="宋体"/>
          <w:bCs/>
          <w:color w:val="000000"/>
          <w:kern w:val="0"/>
          <w:sz w:val="21"/>
          <w:szCs w:val="21"/>
          <w:highlight w:val="none"/>
          <w:lang w:val="en-US" w:eastAsia="zh-CN" w:bidi="ar-SA"/>
        </w:rPr>
        <w:t>《中华人民共和国药典》</w:t>
      </w:r>
      <w:r>
        <w:rPr>
          <w:rFonts w:hint="eastAsia" w:ascii="宋体" w:hAnsi="宋体" w:eastAsia="宋体" w:cs="宋体"/>
          <w:bCs/>
          <w:color w:val="000000"/>
          <w:sz w:val="21"/>
          <w:szCs w:val="21"/>
        </w:rPr>
        <w:t>2020版</w:t>
      </w:r>
      <w:r>
        <w:rPr>
          <w:rFonts w:hint="eastAsia" w:ascii="宋体" w:hAnsi="宋体" w:eastAsia="宋体" w:cs="宋体"/>
          <w:bCs/>
          <w:color w:val="000000"/>
          <w:sz w:val="21"/>
          <w:szCs w:val="21"/>
          <w:lang w:val="en-US" w:eastAsia="zh-CN"/>
        </w:rPr>
        <w:t>通则2321原子吸收分光光度法或电感耦合等离子体质谱法测定，铅不得过5 mg/kg；镉不得过1 mg/kg；砷不得过2 mg/kg；汞不得过0.2 mg/kg；铜不得过20 mg/kg。</w:t>
      </w:r>
    </w:p>
    <w:p w14:paraId="61448823">
      <w:pPr>
        <w:pStyle w:val="6"/>
        <w:keepNext w:val="0"/>
        <w:keepLines w:val="0"/>
        <w:pageBreakBefore w:val="0"/>
        <w:widowControl w:val="0"/>
        <w:kinsoku/>
        <w:wordWrap/>
        <w:overflowPunct/>
        <w:topLinePunct w:val="0"/>
        <w:autoSpaceDE/>
        <w:autoSpaceDN/>
        <w:bidi w:val="0"/>
        <w:adjustRightInd/>
        <w:snapToGrid/>
        <w:spacing w:before="157" w:beforeLines="50" w:after="157" w:afterLines="50"/>
        <w:ind w:firstLine="0" w:firstLineChars="0"/>
        <w:jc w:val="both"/>
        <w:textAlignment w:val="auto"/>
        <w:outlineLvl w:val="1"/>
        <w:rPr>
          <w:rFonts w:hint="eastAsia" w:ascii="黑体" w:hAnsi="黑体" w:eastAsia="黑体" w:cs="黑体"/>
          <w:bCs/>
          <w:color w:val="000000"/>
          <w:sz w:val="21"/>
          <w:szCs w:val="21"/>
          <w:lang w:val="en-US" w:eastAsia="zh-CN"/>
        </w:rPr>
      </w:pPr>
      <w:bookmarkStart w:id="75" w:name="_Toc5414"/>
      <w:bookmarkStart w:id="76" w:name="_Toc27823"/>
      <w:bookmarkStart w:id="77" w:name="_Toc19185"/>
      <w:bookmarkStart w:id="78" w:name="_Toc10374"/>
      <w:r>
        <w:rPr>
          <w:rFonts w:hint="eastAsia" w:ascii="黑体" w:hAnsi="黑体" w:eastAsia="黑体" w:cs="黑体"/>
          <w:bCs/>
          <w:color w:val="000000"/>
          <w:sz w:val="21"/>
          <w:szCs w:val="21"/>
          <w:lang w:val="en-US" w:eastAsia="zh-CN"/>
        </w:rPr>
        <w:t>4.4.5 农药残留</w:t>
      </w:r>
      <w:bookmarkEnd w:id="75"/>
      <w:bookmarkEnd w:id="76"/>
      <w:bookmarkEnd w:id="77"/>
      <w:bookmarkEnd w:id="78"/>
    </w:p>
    <w:p w14:paraId="7E3F8C4E">
      <w:pPr>
        <w:pStyle w:val="6"/>
        <w:keepNext w:val="0"/>
        <w:keepLines w:val="0"/>
        <w:pageBreakBefore w:val="0"/>
        <w:widowControl w:val="0"/>
        <w:kinsoku/>
        <w:wordWrap/>
        <w:overflowPunct/>
        <w:topLinePunct w:val="0"/>
        <w:autoSpaceDE/>
        <w:autoSpaceDN/>
        <w:bidi w:val="0"/>
        <w:adjustRightInd/>
        <w:snapToGrid/>
        <w:ind w:firstLine="0" w:firstLineChars="0"/>
        <w:jc w:val="both"/>
        <w:textAlignment w:val="auto"/>
        <w:rPr>
          <w:rFonts w:hint="default" w:ascii="黑体" w:hAnsi="黑体" w:eastAsia="黑体"/>
          <w:bCs/>
          <w:color w:val="000000"/>
          <w:sz w:val="21"/>
          <w:szCs w:val="21"/>
          <w:lang w:val="en-US" w:eastAsia="zh-CN"/>
        </w:rPr>
      </w:pPr>
      <w:r>
        <w:rPr>
          <w:rFonts w:hint="eastAsia" w:ascii="黑体" w:hAnsi="黑体" w:eastAsia="黑体"/>
          <w:bCs/>
          <w:color w:val="000000"/>
          <w:sz w:val="21"/>
          <w:szCs w:val="21"/>
          <w:lang w:val="en-US" w:eastAsia="zh-CN"/>
        </w:rPr>
        <w:t xml:space="preserve">     </w:t>
      </w:r>
      <w:r>
        <w:rPr>
          <w:rFonts w:hint="default" w:ascii="Times New Roman" w:hAnsi="Times New Roman" w:cs="Times New Roman"/>
          <w:bCs/>
          <w:color w:val="000000"/>
          <w:sz w:val="21"/>
          <w:szCs w:val="21"/>
          <w:lang w:val="en-US" w:eastAsia="zh-CN"/>
        </w:rPr>
        <w:t>照《中华人民共和国药典》2020年版通则0212</w:t>
      </w:r>
      <w:r>
        <w:rPr>
          <w:rFonts w:hint="eastAsia" w:ascii="宋体" w:hAnsi="宋体" w:cs="Times New Roman"/>
          <w:bCs/>
          <w:color w:val="auto"/>
          <w:sz w:val="21"/>
          <w:szCs w:val="21"/>
          <w:lang w:val="en-US" w:eastAsia="zh-CN"/>
        </w:rPr>
        <w:t>中列出的禁用</w:t>
      </w:r>
      <w:r>
        <w:rPr>
          <w:rFonts w:hint="default" w:ascii="宋体" w:hAnsi="宋体" w:cs="Times New Roman"/>
          <w:bCs/>
          <w:color w:val="auto"/>
          <w:sz w:val="21"/>
          <w:szCs w:val="21"/>
          <w:lang w:val="en-US" w:eastAsia="zh-CN"/>
        </w:rPr>
        <w:t>农药残留不得检出</w:t>
      </w:r>
      <w:r>
        <w:rPr>
          <w:rFonts w:hint="eastAsia" w:ascii="宋体" w:hAnsi="宋体" w:cs="Times New Roman"/>
          <w:bCs/>
          <w:color w:val="auto"/>
          <w:sz w:val="21"/>
          <w:szCs w:val="21"/>
          <w:lang w:val="en-US" w:eastAsia="zh-CN"/>
        </w:rPr>
        <w:t>。</w:t>
      </w:r>
    </w:p>
    <w:p w14:paraId="1A801D32">
      <w:pPr>
        <w:pStyle w:val="3"/>
        <w:pageBreakBefore w:val="0"/>
        <w:kinsoku/>
        <w:wordWrap/>
        <w:overflowPunct/>
        <w:topLinePunct w:val="0"/>
        <w:bidi w:val="0"/>
        <w:adjustRightInd/>
        <w:spacing w:before="157" w:beforeLines="50" w:after="157" w:afterLines="50" w:line="240" w:lineRule="auto"/>
        <w:outlineLvl w:val="1"/>
        <w:rPr>
          <w:rFonts w:hint="eastAsia" w:ascii="黑体" w:hAnsi="黑体" w:eastAsia="黑体" w:cs="黑体"/>
          <w:b w:val="0"/>
          <w:bCs w:val="0"/>
          <w:color w:val="auto"/>
          <w:sz w:val="21"/>
          <w:szCs w:val="21"/>
          <w:highlight w:val="none"/>
          <w:lang w:val="en-US" w:eastAsia="zh-CN"/>
        </w:rPr>
      </w:pPr>
      <w:bookmarkStart w:id="79" w:name="_Toc28716"/>
      <w:bookmarkStart w:id="80" w:name="_Toc10369"/>
      <w:bookmarkStart w:id="81" w:name="_Toc27851"/>
      <w:r>
        <w:rPr>
          <w:rFonts w:hint="eastAsia" w:ascii="黑体" w:hAnsi="黑体" w:cs="黑体"/>
          <w:b w:val="0"/>
          <w:bCs w:val="0"/>
          <w:color w:val="000000"/>
          <w:sz w:val="21"/>
          <w:szCs w:val="21"/>
          <w:lang w:val="en-US" w:eastAsia="zh-CN"/>
        </w:rPr>
        <w:t xml:space="preserve">4.6 </w:t>
      </w:r>
      <w:r>
        <w:rPr>
          <w:rFonts w:hint="eastAsia" w:ascii="黑体" w:hAnsi="黑体" w:eastAsia="黑体" w:cs="黑体"/>
          <w:b w:val="0"/>
          <w:bCs w:val="0"/>
          <w:color w:val="auto"/>
          <w:sz w:val="21"/>
          <w:szCs w:val="21"/>
          <w:highlight w:val="none"/>
          <w:lang w:val="en-US" w:eastAsia="zh-CN"/>
        </w:rPr>
        <w:t>浸出物</w:t>
      </w:r>
      <w:bookmarkEnd w:id="79"/>
      <w:bookmarkEnd w:id="80"/>
      <w:bookmarkEnd w:id="81"/>
    </w:p>
    <w:p w14:paraId="5C8728C4">
      <w:pPr>
        <w:pStyle w:val="5"/>
        <w:keepNext w:val="0"/>
        <w:keepLines w:val="0"/>
        <w:pageBreakBefore w:val="0"/>
        <w:widowControl w:val="0"/>
        <w:kinsoku/>
        <w:wordWrap/>
        <w:overflowPunct/>
        <w:topLinePunct w:val="0"/>
        <w:autoSpaceDE/>
        <w:autoSpaceDN/>
        <w:bidi w:val="0"/>
        <w:adjustRightInd/>
        <w:snapToGrid/>
        <w:ind w:firstLineChars="200"/>
        <w:jc w:val="both"/>
        <w:textAlignment w:val="auto"/>
        <w:rPr>
          <w:rFonts w:hint="default" w:ascii="宋体" w:hAnsi="宋体" w:eastAsia="宋体" w:cs="宋体"/>
          <w:bCs/>
          <w:color w:val="000000"/>
          <w:sz w:val="21"/>
          <w:szCs w:val="21"/>
          <w:lang w:val="en-US" w:eastAsia="zh-CN"/>
        </w:rPr>
      </w:pPr>
      <w:r>
        <w:rPr>
          <w:rFonts w:hint="eastAsia" w:ascii="宋体" w:hAnsi="宋体" w:eastAsia="宋体" w:cs="宋体"/>
          <w:sz w:val="21"/>
          <w:szCs w:val="21"/>
          <w:highlight w:val="none"/>
        </w:rPr>
        <w:t>照</w:t>
      </w:r>
      <w:r>
        <w:rPr>
          <w:rFonts w:hint="eastAsia" w:ascii="宋体" w:hAnsi="宋体" w:eastAsia="宋体" w:cs="宋体"/>
          <w:bCs/>
          <w:color w:val="000000"/>
          <w:sz w:val="21"/>
          <w:szCs w:val="21"/>
        </w:rPr>
        <w:t>《中华人民共和国药典》2020版</w:t>
      </w:r>
      <w:r>
        <w:rPr>
          <w:rFonts w:hint="eastAsia" w:ascii="宋体" w:hAnsi="宋体" w:eastAsia="宋体" w:cs="宋体"/>
          <w:sz w:val="21"/>
          <w:szCs w:val="21"/>
          <w:highlight w:val="none"/>
        </w:rPr>
        <w:t>通则2201项下的热浸法测定，</w:t>
      </w:r>
      <w:r>
        <w:rPr>
          <w:rFonts w:hint="eastAsia" w:ascii="宋体" w:hAnsi="宋体" w:eastAsia="宋体" w:cs="宋体"/>
          <w:sz w:val="21"/>
          <w:szCs w:val="21"/>
          <w:highlight w:val="none"/>
          <w:lang w:val="en-US" w:eastAsia="zh-CN"/>
        </w:rPr>
        <w:t>醇</w:t>
      </w:r>
      <w:r>
        <w:rPr>
          <w:rFonts w:hint="eastAsia" w:ascii="宋体" w:hAnsi="宋体" w:eastAsia="宋体" w:cs="宋体"/>
          <w:sz w:val="21"/>
          <w:szCs w:val="21"/>
          <w:highlight w:val="none"/>
        </w:rPr>
        <w:t>溶性浸出物不得少于</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rPr>
        <w:t>.0%。</w:t>
      </w:r>
    </w:p>
    <w:p w14:paraId="4DC66A0A">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bookmarkStart w:id="82" w:name="_Toc19194"/>
      <w:bookmarkStart w:id="83" w:name="_Toc15301"/>
      <w:bookmarkStart w:id="84" w:name="_Toc15311"/>
      <w:r>
        <w:rPr>
          <w:rFonts w:hint="eastAsia" w:ascii="黑体" w:hAnsi="黑体" w:eastAsia="黑体" w:cs="黑体"/>
          <w:bCs/>
          <w:color w:val="000000"/>
          <w:sz w:val="21"/>
          <w:szCs w:val="21"/>
          <w:highlight w:val="none"/>
          <w:lang w:val="en-US" w:eastAsia="zh-CN"/>
        </w:rPr>
        <w:t>4.6 含量</w:t>
      </w:r>
      <w:bookmarkEnd w:id="82"/>
      <w:bookmarkEnd w:id="83"/>
      <w:bookmarkEnd w:id="84"/>
    </w:p>
    <w:p w14:paraId="3055ECC6">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eastAsia="宋体" w:cs="宋体"/>
          <w:bCs/>
          <w:color w:val="000000"/>
          <w:sz w:val="21"/>
          <w:szCs w:val="21"/>
          <w:lang w:val="en-US" w:eastAsia="zh-CN"/>
        </w:rPr>
        <w:t>照《中华人民共和国药典》2020年版</w:t>
      </w:r>
      <w:r>
        <w:rPr>
          <w:rFonts w:hint="eastAsia" w:ascii="宋体" w:hAnsi="宋体" w:eastAsia="宋体" w:cs="宋体"/>
          <w:sz w:val="21"/>
          <w:szCs w:val="21"/>
          <w:highlight w:val="none"/>
        </w:rPr>
        <w:t>通则</w:t>
      </w:r>
      <w:r>
        <w:rPr>
          <w:rFonts w:hint="eastAsia" w:ascii="宋体" w:hAnsi="宋体" w:eastAsia="宋体" w:cs="宋体"/>
          <w:sz w:val="21"/>
          <w:szCs w:val="21"/>
          <w:highlight w:val="none"/>
          <w:lang w:val="en-US" w:eastAsia="zh-CN"/>
        </w:rPr>
        <w:t>0401</w:t>
      </w:r>
      <w:r>
        <w:rPr>
          <w:rFonts w:hint="eastAsia" w:ascii="宋体" w:hAnsi="宋体" w:eastAsia="宋体" w:cs="宋体"/>
          <w:sz w:val="21"/>
          <w:szCs w:val="21"/>
          <w:highlight w:val="none"/>
        </w:rPr>
        <w:t>项下</w:t>
      </w:r>
      <w:r>
        <w:rPr>
          <w:rFonts w:hint="eastAsia" w:ascii="宋体" w:hAnsi="宋体" w:eastAsia="宋体" w:cs="宋体"/>
          <w:sz w:val="21"/>
          <w:szCs w:val="21"/>
          <w:highlight w:val="none"/>
          <w:lang w:eastAsia="zh-CN"/>
        </w:rPr>
        <w:t>紫外可见分光光度法测定</w:t>
      </w:r>
      <w:r>
        <w:rPr>
          <w:rFonts w:hint="eastAsia" w:ascii="宋体" w:hAnsi="宋体" w:eastAsia="宋体" w:cs="宋体"/>
          <w:bCs/>
          <w:color w:val="000000"/>
          <w:sz w:val="21"/>
          <w:szCs w:val="21"/>
          <w:highlight w:val="none"/>
          <w:lang w:val="en-US" w:eastAsia="zh-CN"/>
        </w:rPr>
        <w:t>霍山石斛按干燥品计算，含多糖以无水葡萄糖（C</w:t>
      </w:r>
      <w:r>
        <w:rPr>
          <w:rFonts w:hint="eastAsia" w:ascii="宋体" w:hAnsi="宋体" w:eastAsia="宋体" w:cs="宋体"/>
          <w:bCs/>
          <w:color w:val="000000"/>
          <w:sz w:val="21"/>
          <w:szCs w:val="21"/>
          <w:highlight w:val="none"/>
          <w:vertAlign w:val="subscript"/>
          <w:lang w:val="en-US" w:eastAsia="zh-CN"/>
        </w:rPr>
        <w:t>6</w:t>
      </w:r>
      <w:r>
        <w:rPr>
          <w:rFonts w:hint="eastAsia" w:ascii="宋体" w:hAnsi="宋体" w:eastAsia="宋体" w:cs="宋体"/>
          <w:bCs/>
          <w:color w:val="000000"/>
          <w:sz w:val="21"/>
          <w:szCs w:val="21"/>
          <w:highlight w:val="none"/>
          <w:lang w:val="en-US" w:eastAsia="zh-CN"/>
        </w:rPr>
        <w:t>H</w:t>
      </w:r>
      <w:r>
        <w:rPr>
          <w:rFonts w:hint="eastAsia" w:ascii="宋体" w:hAnsi="宋体" w:eastAsia="宋体" w:cs="宋体"/>
          <w:bCs/>
          <w:color w:val="000000"/>
          <w:sz w:val="21"/>
          <w:szCs w:val="21"/>
          <w:highlight w:val="none"/>
          <w:vertAlign w:val="subscript"/>
          <w:lang w:val="en-US" w:eastAsia="zh-CN"/>
        </w:rPr>
        <w:t>12</w:t>
      </w:r>
      <w:r>
        <w:rPr>
          <w:rFonts w:hint="eastAsia" w:ascii="宋体" w:hAnsi="宋体" w:eastAsia="宋体" w:cs="宋体"/>
          <w:bCs/>
          <w:color w:val="000000"/>
          <w:sz w:val="21"/>
          <w:szCs w:val="21"/>
          <w:highlight w:val="none"/>
          <w:lang w:val="en-US" w:eastAsia="zh-CN"/>
        </w:rPr>
        <w:t>O</w:t>
      </w:r>
      <w:r>
        <w:rPr>
          <w:rFonts w:hint="eastAsia" w:ascii="宋体" w:hAnsi="宋体" w:eastAsia="宋体" w:cs="宋体"/>
          <w:bCs/>
          <w:color w:val="000000"/>
          <w:sz w:val="21"/>
          <w:szCs w:val="21"/>
          <w:highlight w:val="none"/>
          <w:vertAlign w:val="subscript"/>
          <w:lang w:val="en-US" w:eastAsia="zh-CN"/>
        </w:rPr>
        <w:t>6</w:t>
      </w:r>
      <w:r>
        <w:rPr>
          <w:rFonts w:hint="eastAsia" w:ascii="宋体" w:hAnsi="宋体" w:eastAsia="宋体" w:cs="宋体"/>
          <w:bCs/>
          <w:color w:val="000000"/>
          <w:sz w:val="21"/>
          <w:szCs w:val="21"/>
          <w:highlight w:val="none"/>
          <w:lang w:val="en-US" w:eastAsia="zh-CN"/>
        </w:rPr>
        <w:t>）计，不得少于17.0%。</w:t>
      </w:r>
    </w:p>
    <w:p w14:paraId="3C06697A">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bookmarkStart w:id="85" w:name="_Toc1909"/>
      <w:bookmarkStart w:id="86" w:name="_Toc6043"/>
      <w:bookmarkStart w:id="87" w:name="_Toc4174"/>
      <w:r>
        <w:rPr>
          <w:rFonts w:hint="eastAsia" w:ascii="黑体" w:hAnsi="黑体" w:eastAsia="黑体" w:cs="黑体"/>
          <w:bCs/>
          <w:color w:val="000000"/>
          <w:sz w:val="21"/>
          <w:szCs w:val="21"/>
          <w:highlight w:val="none"/>
          <w:lang w:val="en-US" w:eastAsia="zh-CN"/>
        </w:rPr>
        <w:t>4.7 质量控制</w:t>
      </w:r>
      <w:bookmarkEnd w:id="85"/>
      <w:bookmarkEnd w:id="86"/>
      <w:bookmarkEnd w:id="87"/>
    </w:p>
    <w:p w14:paraId="6E567E72">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4.7.1 可追溯</w:t>
      </w:r>
    </w:p>
    <w:p w14:paraId="526034E3">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霍山</w:t>
      </w:r>
      <w:r>
        <w:rPr>
          <w:rFonts w:hint="eastAsia" w:ascii="宋体" w:hAnsi="宋体" w:eastAsia="宋体" w:cs="宋体"/>
          <w:bCs/>
          <w:color w:val="000000"/>
          <w:sz w:val="21"/>
          <w:szCs w:val="21"/>
          <w:highlight w:val="none"/>
          <w:lang w:val="en-US" w:eastAsia="zh-CN"/>
        </w:rPr>
        <w:t>石斛集采交易药材应实现中药材生产全过程可追溯，并通过第三方溯源评价。</w:t>
      </w:r>
    </w:p>
    <w:p w14:paraId="3AD2374F">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 xml:space="preserve">4.7.2 </w:t>
      </w:r>
      <w:r>
        <w:rPr>
          <w:rFonts w:hint="eastAsia" w:ascii="黑体" w:hAnsi="黑体" w:eastAsia="黑体" w:cs="黑体"/>
          <w:bCs/>
          <w:color w:val="auto"/>
          <w:sz w:val="21"/>
          <w:szCs w:val="21"/>
          <w:lang w:val="en-US" w:eastAsia="zh-CN"/>
        </w:rPr>
        <w:t>药材生产管理</w:t>
      </w:r>
      <w:r>
        <w:rPr>
          <w:rFonts w:hint="eastAsia" w:ascii="宋体" w:hAnsi="宋体" w:eastAsia="黑体"/>
          <w:bCs/>
          <w:color w:val="auto"/>
          <w:sz w:val="21"/>
          <w:szCs w:val="21"/>
          <w:lang w:val="en-US" w:eastAsia="zh-CN"/>
        </w:rPr>
        <w:t>规范</w:t>
      </w:r>
    </w:p>
    <w:p w14:paraId="712F5011">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霍山</w:t>
      </w:r>
      <w:r>
        <w:rPr>
          <w:rFonts w:hint="eastAsia" w:ascii="宋体" w:hAnsi="宋体" w:eastAsia="宋体" w:cs="宋体"/>
          <w:bCs/>
          <w:color w:val="000000"/>
          <w:sz w:val="21"/>
          <w:szCs w:val="21"/>
          <w:highlight w:val="none"/>
          <w:lang w:val="en-US" w:eastAsia="zh-CN"/>
        </w:rPr>
        <w:t>石斛精品药材应符合中药材GAP要求，</w:t>
      </w:r>
      <w:r>
        <w:rPr>
          <w:rFonts w:hint="eastAsia" w:ascii="宋体" w:hAnsi="宋体" w:cs="宋体"/>
          <w:bCs/>
          <w:color w:val="000000"/>
          <w:sz w:val="21"/>
          <w:szCs w:val="21"/>
        </w:rPr>
        <w:t>并通过GAP备案或延伸审查通过。</w:t>
      </w:r>
    </w:p>
    <w:p w14:paraId="47254847">
      <w:pPr>
        <w:pStyle w:val="6"/>
        <w:pageBreakBefore w:val="0"/>
        <w:kinsoku/>
        <w:wordWrap/>
        <w:overflowPunct/>
        <w:topLinePunct w:val="0"/>
        <w:bidi w:val="0"/>
        <w:adjustRightInd/>
        <w:snapToGrid/>
        <w:spacing w:before="157" w:beforeLines="50" w:after="157" w:afterLines="50"/>
        <w:jc w:val="both"/>
        <w:rPr>
          <w:rFonts w:hint="eastAsia" w:ascii="黑体" w:hAnsi="黑体" w:eastAsia="黑体" w:cs="黑体"/>
          <w:bCs/>
          <w:color w:val="000000"/>
          <w:sz w:val="21"/>
          <w:szCs w:val="21"/>
          <w:highlight w:val="none"/>
          <w:lang w:val="en-US" w:eastAsia="zh-CN"/>
        </w:rPr>
      </w:pPr>
      <w:r>
        <w:rPr>
          <w:rFonts w:hint="eastAsia" w:ascii="黑体" w:hAnsi="黑体" w:eastAsia="黑体" w:cs="黑体"/>
          <w:bCs/>
          <w:color w:val="000000"/>
          <w:sz w:val="21"/>
          <w:szCs w:val="21"/>
          <w:highlight w:val="none"/>
          <w:lang w:val="en-US" w:eastAsia="zh-CN"/>
        </w:rPr>
        <w:t>4.7.3 道地药材</w:t>
      </w:r>
    </w:p>
    <w:p w14:paraId="27A583F3">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霍山</w:t>
      </w:r>
      <w:r>
        <w:rPr>
          <w:rFonts w:hint="eastAsia" w:ascii="宋体" w:hAnsi="宋体" w:eastAsia="宋体" w:cs="宋体"/>
          <w:bCs/>
          <w:color w:val="000000"/>
          <w:sz w:val="21"/>
          <w:szCs w:val="21"/>
          <w:highlight w:val="none"/>
          <w:lang w:val="en-US" w:eastAsia="zh-CN"/>
        </w:rPr>
        <w:t>石斛精品药材应符合道地药材要求，并通过第三方道地药材认证。</w:t>
      </w:r>
    </w:p>
    <w:p w14:paraId="602A6B4C">
      <w:pPr>
        <w:pStyle w:val="6"/>
        <w:pageBreakBefore w:val="0"/>
        <w:kinsoku/>
        <w:wordWrap/>
        <w:overflowPunct/>
        <w:topLinePunct w:val="0"/>
        <w:bidi w:val="0"/>
        <w:adjustRightInd/>
        <w:snapToGrid/>
        <w:spacing w:before="157" w:beforeLines="50" w:after="157" w:afterLines="50"/>
        <w:jc w:val="both"/>
        <w:outlineLvl w:val="1"/>
        <w:rPr>
          <w:rFonts w:hint="eastAsia" w:ascii="黑体" w:hAnsi="黑体" w:eastAsia="黑体" w:cs="黑体"/>
          <w:bCs/>
          <w:color w:val="000000"/>
          <w:sz w:val="21"/>
          <w:szCs w:val="21"/>
          <w:highlight w:val="none"/>
          <w:lang w:val="en-US" w:eastAsia="zh-CN"/>
        </w:rPr>
      </w:pPr>
      <w:bookmarkStart w:id="88" w:name="_Toc13632"/>
      <w:bookmarkStart w:id="89" w:name="_Toc28960"/>
      <w:bookmarkStart w:id="90" w:name="_Toc2463"/>
      <w:r>
        <w:rPr>
          <w:rFonts w:hint="eastAsia" w:ascii="黑体" w:hAnsi="黑体" w:eastAsia="黑体" w:cs="黑体"/>
          <w:bCs/>
          <w:color w:val="000000"/>
          <w:sz w:val="21"/>
          <w:szCs w:val="21"/>
          <w:highlight w:val="none"/>
          <w:lang w:val="en-US" w:eastAsia="zh-CN"/>
        </w:rPr>
        <w:t>4.8 等级及集采要求</w:t>
      </w:r>
      <w:bookmarkEnd w:id="88"/>
      <w:bookmarkEnd w:id="89"/>
      <w:bookmarkEnd w:id="90"/>
    </w:p>
    <w:p w14:paraId="038F29FF">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000000"/>
          <w:sz w:val="21"/>
          <w:szCs w:val="21"/>
          <w:highlight w:val="none"/>
          <w:lang w:val="en-US" w:eastAsia="zh-CN"/>
        </w:rPr>
      </w:pPr>
      <w:r>
        <w:rPr>
          <w:rFonts w:hint="eastAsia" w:ascii="宋体" w:hAnsi="宋体" w:cs="宋体"/>
          <w:bCs/>
          <w:color w:val="000000"/>
          <w:sz w:val="21"/>
          <w:szCs w:val="21"/>
          <w:highlight w:val="none"/>
          <w:lang w:val="en-US" w:eastAsia="zh-CN"/>
        </w:rPr>
        <w:t>霍山</w:t>
      </w:r>
      <w:r>
        <w:rPr>
          <w:rFonts w:hint="eastAsia" w:ascii="宋体" w:hAnsi="宋体" w:eastAsia="宋体" w:cs="宋体"/>
          <w:bCs/>
          <w:color w:val="000000"/>
          <w:sz w:val="21"/>
          <w:szCs w:val="21"/>
          <w:highlight w:val="none"/>
          <w:lang w:val="en-US" w:eastAsia="zh-CN"/>
        </w:rPr>
        <w:t>石斛集采药材统货、选货、精品药材具体要求见表</w:t>
      </w:r>
      <w:r>
        <w:rPr>
          <w:rFonts w:hint="eastAsia" w:ascii="宋体" w:hAnsi="宋体" w:cs="宋体"/>
          <w:bCs/>
          <w:color w:val="000000"/>
          <w:sz w:val="21"/>
          <w:szCs w:val="21"/>
          <w:highlight w:val="none"/>
          <w:lang w:val="en-US" w:eastAsia="zh-CN"/>
        </w:rPr>
        <w:t>1。</w:t>
      </w:r>
    </w:p>
    <w:tbl>
      <w:tblPr>
        <w:tblStyle w:val="12"/>
        <w:tblW w:w="970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502"/>
        <w:gridCol w:w="1995"/>
        <w:gridCol w:w="2067"/>
        <w:gridCol w:w="140"/>
        <w:gridCol w:w="1771"/>
        <w:gridCol w:w="156"/>
        <w:gridCol w:w="2069"/>
      </w:tblGrid>
      <w:tr w14:paraId="3BCF07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9700" w:type="dxa"/>
            <w:gridSpan w:val="7"/>
            <w:tcBorders>
              <w:top w:val="nil"/>
              <w:left w:val="nil"/>
              <w:bottom w:val="nil"/>
              <w:right w:val="nil"/>
            </w:tcBorders>
            <w:shd w:val="clear" w:color="auto" w:fill="FFFFFF"/>
            <w:noWrap/>
            <w:vAlign w:val="center"/>
          </w:tcPr>
          <w:p w14:paraId="06D00F98">
            <w:pPr>
              <w:keepNext w:val="0"/>
              <w:keepLines w:val="0"/>
              <w:pageBreakBefore w:val="0"/>
              <w:widowControl/>
              <w:suppressLineNumbers w:val="0"/>
              <w:kinsoku/>
              <w:wordWrap/>
              <w:overflowPunct/>
              <w:topLinePunct w:val="0"/>
              <w:autoSpaceDE/>
              <w:autoSpaceDN/>
              <w:bidi w:val="0"/>
              <w:adjustRightInd/>
              <w:ind w:firstLine="0" w:firstLineChars="0"/>
              <w:jc w:val="center"/>
              <w:textAlignment w:val="center"/>
              <w:rPr>
                <w:rFonts w:hint="eastAsia" w:ascii="宋体" w:hAnsi="宋体" w:eastAsia="宋体" w:cs="宋体"/>
                <w:b/>
                <w:bCs/>
                <w:i w:val="0"/>
                <w:iCs w:val="0"/>
                <w:color w:val="auto"/>
                <w:sz w:val="18"/>
                <w:szCs w:val="18"/>
                <w:highlight w:val="none"/>
                <w:u w:val="none"/>
                <w:lang w:val="en-US"/>
              </w:rPr>
            </w:pPr>
            <w:r>
              <w:rPr>
                <w:rFonts w:hint="eastAsia" w:ascii="黑体" w:hAnsi="黑体" w:eastAsia="黑体" w:cs="黑体"/>
                <w:b w:val="0"/>
                <w:bCs w:val="0"/>
                <w:i w:val="0"/>
                <w:iCs w:val="0"/>
                <w:color w:val="auto"/>
                <w:kern w:val="0"/>
                <w:sz w:val="21"/>
                <w:szCs w:val="21"/>
                <w:highlight w:val="none"/>
                <w:u w:val="none"/>
                <w:lang w:val="en-US" w:eastAsia="zh-CN" w:bidi="ar"/>
              </w:rPr>
              <w:t>表1 道地药材集采交易标准 霍山石斛</w:t>
            </w:r>
          </w:p>
        </w:tc>
      </w:tr>
      <w:tr w14:paraId="76D83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0" w:hRule="atLeast"/>
        </w:trPr>
        <w:tc>
          <w:tcPr>
            <w:tcW w:w="3497" w:type="dxa"/>
            <w:gridSpan w:val="2"/>
            <w:tcBorders>
              <w:top w:val="single" w:color="000000" w:sz="4" w:space="0"/>
              <w:left w:val="single" w:color="auto" w:sz="4" w:space="0"/>
              <w:bottom w:val="single" w:color="000000" w:sz="4" w:space="0"/>
              <w:right w:val="single" w:color="000000" w:sz="4" w:space="0"/>
            </w:tcBorders>
            <w:shd w:val="clear" w:color="auto" w:fill="FFFFFF"/>
            <w:vAlign w:val="center"/>
            <mc:AlternateContent>
              <mc:Choice Requires="wpsCustomData">
                <wpsCustomData:diagonals>
                  <wpsCustomData:diagonal from="10000" to="30000">
                    <wpsCustomData:border w:val="single" w:color="000000" w:sz="4" w:space="0"/>
                  </wpsCustomData:diagonal>
                </wpsCustomData:diagonals>
              </mc:Choice>
            </mc:AlternateContent>
          </w:tcPr>
          <w:p w14:paraId="67E6DCA0">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val="0"/>
                <w:bCs w:val="0"/>
                <w:i w:val="0"/>
                <w:iCs w:val="0"/>
                <w:color w:val="000000"/>
                <w:kern w:val="0"/>
                <w:sz w:val="18"/>
                <w:szCs w:val="18"/>
                <w:u w:val="none"/>
                <w:lang w:val="en-US" w:eastAsia="zh-CN" w:bidi="ar"/>
              </w:rPr>
            </w:pPr>
          </w:p>
          <w:p w14:paraId="38D67182">
            <w:pPr>
              <w:keepNext w:val="0"/>
              <w:keepLines w:val="0"/>
              <w:pageBreakBefore w:val="0"/>
              <w:kinsoku/>
              <w:wordWrap/>
              <w:overflowPunct/>
              <w:topLinePunct w:val="0"/>
              <w:autoSpaceDE/>
              <w:autoSpaceDN/>
              <w:bidi w:val="0"/>
              <w:adjustRightInd/>
              <w:snapToGrid w:val="0"/>
              <w:spacing w:line="240" w:lineRule="auto"/>
              <w:jc w:val="center"/>
              <mc:AlternateContent>
                <mc:Choice Requires="wpsCustomData">
                  <wpsCustomData:diagonalParaType/>
                </mc:Choice>
              </mc:AlternateContent>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指标</w:t>
            </w:r>
          </w:p>
          <w:p w14:paraId="27024755">
            <w:pPr>
              <w:keepNext w:val="0"/>
              <w:keepLines w:val="0"/>
              <w:pageBreakBefore w:val="0"/>
              <w:kinsoku/>
              <w:wordWrap/>
              <w:overflowPunct/>
              <w:topLinePunct w:val="0"/>
              <w:autoSpaceDE/>
              <w:autoSpaceDN/>
              <w:bidi w:val="0"/>
              <w:adjustRightInd/>
              <w:jc w:val="center"/>
              <w:rPr>
                <w:rFonts w:hint="eastAsia" w:ascii="宋体" w:hAnsi="宋体" w:eastAsia="宋体" w:cs="宋体"/>
                <w:b w:val="0"/>
                <w:bCs w:val="0"/>
                <w:i w:val="0"/>
                <w:iCs w:val="0"/>
                <w:color w:val="auto"/>
                <w:kern w:val="0"/>
                <w:sz w:val="18"/>
                <w:szCs w:val="18"/>
                <w:highlight w:val="none"/>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等级</w:t>
            </w:r>
          </w:p>
        </w:tc>
        <w:tc>
          <w:tcPr>
            <w:tcW w:w="2207"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7A0AC583">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b w:val="0"/>
                <w:bCs w:val="0"/>
                <w:i w:val="0"/>
                <w:iCs w:val="0"/>
                <w:color w:val="auto"/>
                <w:kern w:val="0"/>
                <w:sz w:val="18"/>
                <w:szCs w:val="18"/>
                <w:highlight w:val="none"/>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统货</w:t>
            </w:r>
          </w:p>
        </w:tc>
        <w:tc>
          <w:tcPr>
            <w:tcW w:w="177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64749E">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b w:val="0"/>
                <w:bCs w:val="0"/>
                <w:i w:val="0"/>
                <w:iCs w:val="0"/>
                <w:color w:val="auto"/>
                <w:kern w:val="0"/>
                <w:sz w:val="18"/>
                <w:szCs w:val="18"/>
                <w:highlight w:val="none"/>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选货</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B748E70">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b w:val="0"/>
                <w:bCs w:val="0"/>
                <w:i w:val="0"/>
                <w:iCs w:val="0"/>
                <w:color w:val="auto"/>
                <w:kern w:val="0"/>
                <w:sz w:val="18"/>
                <w:szCs w:val="18"/>
                <w:highlight w:val="none"/>
                <w:u w:val="none"/>
                <w:lang w:val="en-US" w:eastAsia="zh-CN" w:bidi="ar"/>
              </w:rPr>
            </w:pPr>
            <w:r>
              <w:rPr>
                <w:rFonts w:hint="eastAsia" w:ascii="宋体" w:hAnsi="宋体" w:eastAsia="宋体" w:cs="宋体"/>
                <w:b w:val="0"/>
                <w:bCs w:val="0"/>
                <w:i w:val="0"/>
                <w:iCs w:val="0"/>
                <w:color w:val="000000"/>
                <w:kern w:val="0"/>
                <w:sz w:val="18"/>
                <w:szCs w:val="18"/>
                <w:highlight w:val="none"/>
                <w:u w:val="none"/>
                <w:lang w:val="en-US" w:eastAsia="zh-CN" w:bidi="ar"/>
              </w:rPr>
              <w:t>精</w:t>
            </w:r>
            <w:r>
              <w:rPr>
                <w:rFonts w:hint="eastAsia" w:ascii="宋体" w:hAnsi="宋体" w:eastAsia="宋体" w:cs="宋体"/>
                <w:b w:val="0"/>
                <w:bCs w:val="0"/>
                <w:strike w:val="0"/>
                <w:dstrike w:val="0"/>
                <w:color w:val="000000"/>
                <w:sz w:val="18"/>
                <w:szCs w:val="18"/>
                <w:highlight w:val="none"/>
                <w:lang w:val="en-US" w:eastAsia="zh-CN"/>
              </w:rPr>
              <w:t>品</w:t>
            </w:r>
            <w:r>
              <w:rPr>
                <w:rFonts w:hint="eastAsia" w:ascii="宋体" w:hAnsi="宋体" w:eastAsia="宋体" w:cs="宋体"/>
                <w:b w:val="0"/>
                <w:bCs w:val="0"/>
                <w:i w:val="0"/>
                <w:iCs w:val="0"/>
                <w:color w:val="000000"/>
                <w:kern w:val="0"/>
                <w:sz w:val="18"/>
                <w:szCs w:val="18"/>
                <w:highlight w:val="none"/>
                <w:u w:val="none"/>
                <w:lang w:val="en-US" w:eastAsia="zh-CN" w:bidi="ar"/>
              </w:rPr>
              <w:t>药</w:t>
            </w:r>
            <w:r>
              <w:rPr>
                <w:rFonts w:hint="eastAsia" w:ascii="宋体" w:hAnsi="宋体" w:eastAsia="宋体" w:cs="宋体"/>
                <w:b w:val="0"/>
                <w:bCs w:val="0"/>
                <w:i w:val="0"/>
                <w:iCs w:val="0"/>
                <w:color w:val="000000"/>
                <w:kern w:val="0"/>
                <w:sz w:val="18"/>
                <w:szCs w:val="18"/>
                <w:u w:val="none"/>
                <w:lang w:val="en-US" w:eastAsia="zh-CN" w:bidi="ar"/>
              </w:rPr>
              <w:t>材</w:t>
            </w:r>
          </w:p>
        </w:tc>
      </w:tr>
      <w:tr w14:paraId="534AB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72E6A87">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来源</w:t>
            </w: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9688E8">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基原</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5B8A1B2B">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rPr>
              <w:t>本品</w:t>
            </w:r>
            <w:r>
              <w:rPr>
                <w:rFonts w:hint="eastAsia" w:ascii="宋体" w:hAnsi="宋体" w:eastAsia="宋体" w:cs="宋体"/>
                <w:i w:val="0"/>
                <w:iCs w:val="0"/>
                <w:color w:val="auto"/>
                <w:sz w:val="18"/>
                <w:szCs w:val="18"/>
                <w:highlight w:val="none"/>
                <w:u w:val="none"/>
                <w:lang w:val="en-US" w:eastAsia="zh-CN"/>
              </w:rPr>
              <w:t>为</w:t>
            </w:r>
            <w:r>
              <w:rPr>
                <w:rFonts w:hint="eastAsia" w:ascii="宋体" w:hAnsi="宋体" w:eastAsia="宋体" w:cs="宋体"/>
                <w:i w:val="0"/>
                <w:iCs w:val="0"/>
                <w:color w:val="auto"/>
                <w:sz w:val="18"/>
                <w:szCs w:val="18"/>
                <w:highlight w:val="none"/>
                <w:u w:val="none"/>
              </w:rPr>
              <w:t>兰科植物霍山石斛</w:t>
            </w:r>
            <w:r>
              <w:rPr>
                <w:rFonts w:hint="eastAsia" w:ascii="宋体" w:hAnsi="宋体" w:eastAsia="宋体" w:cs="宋体"/>
                <w:i/>
                <w:iCs/>
                <w:color w:val="auto"/>
                <w:sz w:val="18"/>
                <w:szCs w:val="18"/>
                <w:highlight w:val="none"/>
                <w:u w:val="none"/>
              </w:rPr>
              <w:t xml:space="preserve">Dendrobium huoshanense </w:t>
            </w:r>
            <w:r>
              <w:rPr>
                <w:rFonts w:hint="eastAsia" w:ascii="宋体" w:hAnsi="宋体" w:eastAsia="宋体" w:cs="宋体"/>
                <w:i w:val="0"/>
                <w:iCs w:val="0"/>
                <w:color w:val="auto"/>
                <w:sz w:val="18"/>
                <w:szCs w:val="18"/>
                <w:highlight w:val="none"/>
                <w:u w:val="none"/>
              </w:rPr>
              <w:t>C.Z.Tang et S.J.Cheng</w:t>
            </w:r>
            <w:r>
              <w:rPr>
                <w:rFonts w:hint="eastAsia" w:ascii="宋体" w:hAnsi="宋体" w:eastAsia="宋体" w:cs="宋体"/>
                <w:i w:val="0"/>
                <w:iCs w:val="0"/>
                <w:color w:val="auto"/>
                <w:sz w:val="18"/>
                <w:szCs w:val="18"/>
                <w:highlight w:val="none"/>
                <w:u w:val="none"/>
                <w:lang w:eastAsia="zh-CN"/>
              </w:rPr>
              <w:t>。</w:t>
            </w:r>
          </w:p>
        </w:tc>
      </w:tr>
      <w:tr w14:paraId="4028EB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2316A35">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DF9F105">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药用部位</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16C285E5">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rPr>
              <w:t>新鲜或干燥茎</w:t>
            </w:r>
          </w:p>
        </w:tc>
      </w:tr>
      <w:tr w14:paraId="41CA4C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D7C13C8">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545531">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采收时间</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75613FD">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sz w:val="18"/>
                <w:szCs w:val="18"/>
                <w:highlight w:val="none"/>
                <w:u w:val="none"/>
              </w:rPr>
              <w:t>11月至翌年3月采收</w:t>
            </w:r>
          </w:p>
        </w:tc>
      </w:tr>
      <w:tr w14:paraId="7A62D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613FE08">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2B4F47">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产地加工</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9B50773">
            <w:pPr>
              <w:pStyle w:val="10"/>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20" w:afterAutospacing="0" w:line="336" w:lineRule="atLeast"/>
              <w:ind w:left="0" w:right="0" w:firstLine="0"/>
              <w:jc w:val="left"/>
              <w:rPr>
                <w:rFonts w:hint="eastAsia" w:ascii="Calibri" w:hAnsi="Calibri" w:eastAsia="宋体" w:cs="Times New Roman"/>
                <w:kern w:val="2"/>
                <w:sz w:val="21"/>
                <w:szCs w:val="24"/>
                <w:lang w:val="en-US" w:eastAsia="zh-CN" w:bidi="ar-SA"/>
              </w:rPr>
            </w:pPr>
            <w:r>
              <w:rPr>
                <w:rFonts w:hint="default" w:ascii="Calibri" w:hAnsi="Calibri" w:eastAsia="宋体" w:cs="Times New Roman"/>
                <w:kern w:val="2"/>
                <w:sz w:val="21"/>
                <w:szCs w:val="24"/>
                <w:lang w:val="en-US" w:eastAsia="zh-CN" w:bidi="ar-SA"/>
              </w:rPr>
              <w:t>除去叶、根须及泥沙等杂质，洗净，鲜用，或加热除去叶鞘制成干条；或边加热边扭成螺旋状或弹簧状，干燥，称霍山石斛枫斗</w:t>
            </w:r>
          </w:p>
        </w:tc>
      </w:tr>
      <w:tr w14:paraId="6BE89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5A773E2">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BD2185">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产地</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09E33633">
            <w:pPr>
              <w:keepNext w:val="0"/>
              <w:keepLines w:val="0"/>
              <w:pageBreakBefore w:val="0"/>
              <w:kinsoku/>
              <w:wordWrap/>
              <w:overflowPunct/>
              <w:topLinePunct w:val="0"/>
              <w:autoSpaceDE/>
              <w:autoSpaceDN/>
              <w:bidi w:val="0"/>
              <w:adjustRightInd/>
              <w:jc w:val="center"/>
              <w:rPr>
                <w:rFonts w:hint="eastAsia" w:ascii="Calibri" w:hAnsi="Calibri" w:eastAsia="宋体" w:cs="Times New Roman"/>
                <w:kern w:val="2"/>
                <w:sz w:val="21"/>
                <w:szCs w:val="24"/>
                <w:lang w:val="en-US" w:eastAsia="zh-CN" w:bidi="ar-SA"/>
              </w:rPr>
            </w:pPr>
            <w:r>
              <w:rPr>
                <w:rFonts w:hint="eastAsia" w:ascii="Calibri" w:hAnsi="Calibri" w:eastAsia="宋体" w:cs="Times New Roman"/>
                <w:kern w:val="2"/>
                <w:sz w:val="21"/>
                <w:szCs w:val="24"/>
                <w:lang w:val="en-US" w:eastAsia="zh-CN" w:bidi="ar-SA"/>
              </w:rPr>
              <w:t>以安徽省六安市霍山县为中心，核心区域包括大别山脉东段北坡及邻近山区</w:t>
            </w:r>
          </w:p>
        </w:tc>
      </w:tr>
      <w:tr w14:paraId="331E9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5F58FB5">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性状</w:t>
            </w: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DC7F307">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形状</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D993740">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bCs/>
                <w:color w:val="000000"/>
                <w:sz w:val="18"/>
                <w:szCs w:val="18"/>
              </w:rPr>
              <w:t>干条呈直条状或不规则弯曲形</w:t>
            </w:r>
          </w:p>
        </w:tc>
      </w:tr>
      <w:tr w14:paraId="2E32B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5CA35D">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905F06">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大小</w:t>
            </w:r>
          </w:p>
        </w:tc>
        <w:tc>
          <w:tcPr>
            <w:tcW w:w="2067"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021530">
            <w:pPr>
              <w:pStyle w:val="5"/>
              <w:keepNext w:val="0"/>
              <w:keepLines w:val="0"/>
              <w:pageBreakBefore w:val="0"/>
              <w:kinsoku/>
              <w:wordWrap/>
              <w:overflowPunct/>
              <w:topLinePunct w:val="0"/>
              <w:autoSpaceDE/>
              <w:autoSpaceDN/>
              <w:bidi w:val="0"/>
              <w:adjustRightInd/>
              <w:ind w:left="0" w:leftChars="0" w:firstLine="0" w:firstLineChars="0"/>
              <w:jc w:val="both"/>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sz w:val="18"/>
                <w:szCs w:val="18"/>
                <w:highlight w:val="none"/>
                <w:lang w:val="en-US" w:eastAsia="zh-CN"/>
              </w:rPr>
              <w:t>长2～8cm，直径1～4mm</w:t>
            </w:r>
            <w:r>
              <w:rPr>
                <w:rFonts w:hint="eastAsia" w:cs="宋体"/>
                <w:sz w:val="18"/>
                <w:szCs w:val="18"/>
                <w:highlight w:val="none"/>
                <w:lang w:val="en-US" w:eastAsia="zh-CN"/>
              </w:rPr>
              <w:t>，长短、大小不一；</w:t>
            </w:r>
          </w:p>
        </w:tc>
        <w:tc>
          <w:tcPr>
            <w:tcW w:w="2067"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70ADC8B">
            <w:pPr>
              <w:pStyle w:val="5"/>
              <w:keepNext w:val="0"/>
              <w:keepLines w:val="0"/>
              <w:pageBreakBefore w:val="0"/>
              <w:kinsoku/>
              <w:wordWrap/>
              <w:overflowPunct/>
              <w:topLinePunct w:val="0"/>
              <w:autoSpaceDE/>
              <w:autoSpaceDN/>
              <w:bidi w:val="0"/>
              <w:adjustRightInd/>
              <w:ind w:left="0" w:leftChars="0" w:firstLine="0" w:firstLineChars="0"/>
              <w:jc w:val="both"/>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长</w:t>
            </w:r>
            <w:r>
              <w:rPr>
                <w:rFonts w:hint="eastAsia" w:cs="宋体"/>
                <w:sz w:val="18"/>
                <w:szCs w:val="18"/>
                <w:highlight w:val="none"/>
                <w:lang w:val="en-US" w:eastAsia="zh-CN"/>
              </w:rPr>
              <w:t>4</w:t>
            </w:r>
            <w:r>
              <w:rPr>
                <w:rFonts w:hint="eastAsia" w:ascii="宋体" w:hAnsi="宋体" w:eastAsia="宋体" w:cs="宋体"/>
                <w:sz w:val="18"/>
                <w:szCs w:val="18"/>
                <w:highlight w:val="none"/>
                <w:lang w:val="en-US" w:eastAsia="zh-CN"/>
              </w:rPr>
              <w:t>～8cm，直径1～4mm</w:t>
            </w:r>
            <w:r>
              <w:rPr>
                <w:rFonts w:hint="eastAsia" w:cs="宋体"/>
                <w:sz w:val="18"/>
                <w:szCs w:val="18"/>
                <w:highlight w:val="none"/>
                <w:lang w:val="en-US" w:eastAsia="zh-CN"/>
              </w:rPr>
              <w:t>，长短、大小均匀；</w:t>
            </w:r>
          </w:p>
        </w:tc>
        <w:tc>
          <w:tcPr>
            <w:tcW w:w="20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394DA4">
            <w:pPr>
              <w:pStyle w:val="5"/>
              <w:keepNext w:val="0"/>
              <w:keepLines w:val="0"/>
              <w:pageBreakBefore w:val="0"/>
              <w:kinsoku/>
              <w:wordWrap/>
              <w:overflowPunct/>
              <w:topLinePunct w:val="0"/>
              <w:autoSpaceDE/>
              <w:autoSpaceDN/>
              <w:bidi w:val="0"/>
              <w:adjustRightInd/>
              <w:ind w:left="0" w:leftChars="0" w:firstLine="0" w:firstLineChars="0"/>
              <w:jc w:val="both"/>
              <w:rPr>
                <w:rFonts w:hint="eastAsia" w:ascii="宋体" w:hAnsi="宋体" w:eastAsia="宋体" w:cs="宋体"/>
                <w:sz w:val="18"/>
                <w:szCs w:val="18"/>
                <w:highlight w:val="none"/>
              </w:rPr>
            </w:pPr>
            <w:r>
              <w:rPr>
                <w:rFonts w:hint="eastAsia" w:ascii="宋体" w:hAnsi="宋体" w:eastAsia="宋体" w:cs="宋体"/>
                <w:sz w:val="18"/>
                <w:szCs w:val="18"/>
                <w:highlight w:val="none"/>
                <w:lang w:val="en-US" w:eastAsia="zh-CN"/>
              </w:rPr>
              <w:t>长</w:t>
            </w:r>
            <w:r>
              <w:rPr>
                <w:rFonts w:hint="eastAsia" w:cs="宋体"/>
                <w:sz w:val="18"/>
                <w:szCs w:val="18"/>
                <w:highlight w:val="none"/>
                <w:lang w:val="en-US" w:eastAsia="zh-CN"/>
              </w:rPr>
              <w:t>4</w:t>
            </w:r>
            <w:r>
              <w:rPr>
                <w:rFonts w:hint="eastAsia" w:ascii="宋体" w:hAnsi="宋体" w:eastAsia="宋体" w:cs="宋体"/>
                <w:sz w:val="18"/>
                <w:szCs w:val="18"/>
                <w:highlight w:val="none"/>
                <w:lang w:val="en-US" w:eastAsia="zh-CN"/>
              </w:rPr>
              <w:t>～8cm，直径1～4mm</w:t>
            </w:r>
            <w:r>
              <w:rPr>
                <w:rFonts w:hint="eastAsia" w:cs="宋体"/>
                <w:sz w:val="18"/>
                <w:szCs w:val="18"/>
                <w:highlight w:val="none"/>
                <w:lang w:val="en-US" w:eastAsia="zh-CN"/>
              </w:rPr>
              <w:t>，长短、大小均匀；</w:t>
            </w:r>
          </w:p>
        </w:tc>
      </w:tr>
      <w:tr w14:paraId="77EACB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911D6E3">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F21933">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表面特征</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09BE0E1">
            <w:pPr>
              <w:pStyle w:val="5"/>
              <w:keepNext w:val="0"/>
              <w:keepLines w:val="0"/>
              <w:pageBreakBefore w:val="0"/>
              <w:kinsoku/>
              <w:wordWrap/>
              <w:overflowPunct/>
              <w:topLinePunct w:val="0"/>
              <w:autoSpaceDE/>
              <w:autoSpaceDN/>
              <w:bidi w:val="0"/>
              <w:adjustRightInd/>
              <w:ind w:left="0" w:leftChars="0" w:firstLine="0" w:firstLineChars="0"/>
              <w:jc w:val="both"/>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sz w:val="18"/>
                <w:szCs w:val="18"/>
                <w:highlight w:val="none"/>
              </w:rPr>
              <w:t>表面淡黄绿色至黄绿色，偶有黄褐色斑块，有细纵纹，节明显，节上有的可见残留的灰白色膜质叶鞘；一端可见茎基部残留的短须根或须根痕，另一端为茎尖，较细</w:t>
            </w:r>
          </w:p>
        </w:tc>
      </w:tr>
      <w:tr w14:paraId="65E261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32F767B">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6923C8">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断面特征</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37768B0">
            <w:pPr>
              <w:pStyle w:val="5"/>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r>
              <w:rPr>
                <w:rFonts w:hint="eastAsia" w:ascii="宋体" w:hAnsi="宋体" w:eastAsia="宋体" w:cs="宋体"/>
                <w:sz w:val="18"/>
                <w:szCs w:val="18"/>
                <w:highlight w:val="none"/>
              </w:rPr>
              <w:t>断面平坦，灰黄色至灰绿色，略角质状</w:t>
            </w:r>
          </w:p>
        </w:tc>
      </w:tr>
      <w:tr w14:paraId="2C42C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4AB8A28">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71CA0">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质地</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611A821">
            <w:pPr>
              <w:pStyle w:val="5"/>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r>
              <w:rPr>
                <w:rFonts w:hint="eastAsia" w:ascii="宋体" w:hAnsi="宋体" w:eastAsia="宋体" w:cs="宋体"/>
                <w:sz w:val="18"/>
                <w:szCs w:val="18"/>
                <w:highlight w:val="none"/>
              </w:rPr>
              <w:t>霍山石斛</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rPr>
              <w:t xml:space="preserve"> 质硬而脆，易折断</w:t>
            </w:r>
          </w:p>
        </w:tc>
      </w:tr>
      <w:tr w14:paraId="77E2C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2" w:hRule="atLeast"/>
        </w:trPr>
        <w:tc>
          <w:tcPr>
            <w:tcW w:w="1502" w:type="dxa"/>
            <w:vMerge w:val="continue"/>
            <w:tcBorders>
              <w:top w:val="single" w:color="000000" w:sz="4" w:space="0"/>
              <w:left w:val="single" w:color="000000" w:sz="4" w:space="0"/>
              <w:bottom w:val="single" w:color="auto" w:sz="4" w:space="0"/>
              <w:right w:val="single" w:color="000000" w:sz="4" w:space="0"/>
            </w:tcBorders>
            <w:shd w:val="clear" w:color="auto" w:fill="FFFFFF"/>
            <w:vAlign w:val="center"/>
          </w:tcPr>
          <w:p w14:paraId="2D606047">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BA72E9">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0"/>
                <w:sz w:val="18"/>
                <w:szCs w:val="18"/>
                <w:highlight w:val="none"/>
                <w:u w:val="none"/>
                <w:lang w:val="en-US" w:eastAsia="zh-CN" w:bidi="ar"/>
              </w:rPr>
              <w:t>气味</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403E4BE">
            <w:pPr>
              <w:pStyle w:val="5"/>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sz w:val="18"/>
                <w:szCs w:val="18"/>
                <w:highlight w:val="none"/>
              </w:rPr>
              <w:t>霍山石斛</w:t>
            </w:r>
            <w:r>
              <w:rPr>
                <w:rFonts w:hint="eastAsia" w:ascii="宋体" w:hAnsi="宋体" w:eastAsia="宋体" w:cs="宋体"/>
                <w:sz w:val="18"/>
                <w:szCs w:val="18"/>
                <w:highlight w:val="none"/>
                <w:lang w:eastAsia="zh-CN"/>
              </w:rPr>
              <w:t>：</w:t>
            </w:r>
            <w:r>
              <w:rPr>
                <w:rFonts w:hint="eastAsia" w:ascii="宋体" w:hAnsi="宋体" w:eastAsia="宋体" w:cs="宋体"/>
                <w:sz w:val="18"/>
                <w:szCs w:val="18"/>
                <w:highlight w:val="none"/>
              </w:rPr>
              <w:t xml:space="preserve"> 气微，味淡，嚼之有黏性</w:t>
            </w:r>
          </w:p>
        </w:tc>
      </w:tr>
      <w:tr w14:paraId="418F6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932FF28">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鉴别</w:t>
            </w:r>
          </w:p>
        </w:tc>
        <w:tc>
          <w:tcPr>
            <w:tcW w:w="1995" w:type="dxa"/>
            <w:tcBorders>
              <w:top w:val="single" w:color="000000" w:sz="4" w:space="0"/>
              <w:left w:val="single" w:color="auto" w:sz="4" w:space="0"/>
              <w:bottom w:val="single" w:color="auto" w:sz="4" w:space="0"/>
              <w:right w:val="single" w:color="000000" w:sz="4" w:space="0"/>
            </w:tcBorders>
            <w:shd w:val="clear" w:color="auto" w:fill="FFFFFF"/>
            <w:vAlign w:val="center"/>
          </w:tcPr>
          <w:p w14:paraId="21E50158">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显微特征</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354E0ABA">
            <w:pPr>
              <w:keepNext w:val="0"/>
              <w:keepLines w:val="0"/>
              <w:pageBreakBefore w:val="0"/>
              <w:kinsoku/>
              <w:wordWrap/>
              <w:overflowPunct/>
              <w:topLinePunct w:val="0"/>
              <w:autoSpaceDE/>
              <w:autoSpaceDN/>
              <w:bidi w:val="0"/>
              <w:adjustRightInd/>
              <w:jc w:val="center"/>
              <w:rPr>
                <w:rFonts w:hint="default" w:ascii="宋体" w:hAnsi="宋体" w:eastAsia="宋体" w:cs="宋体"/>
                <w:i w:val="0"/>
                <w:iCs w:val="0"/>
                <w:caps w:val="0"/>
                <w:color w:val="000000"/>
                <w:spacing w:val="0"/>
                <w:kern w:val="2"/>
                <w:sz w:val="18"/>
                <w:szCs w:val="18"/>
                <w:shd w:val="clear" w:fill="FFFFFF"/>
                <w:lang w:val="en-US" w:eastAsia="zh-CN" w:bidi="ar-SA"/>
              </w:rPr>
            </w:pPr>
            <w:r>
              <w:rPr>
                <w:rFonts w:hint="eastAsia" w:ascii="宋体" w:hAnsi="宋体" w:cs="宋体"/>
                <w:sz w:val="18"/>
                <w:szCs w:val="18"/>
                <w:highlight w:val="none"/>
                <w:lang w:val="en-US" w:eastAsia="zh-CN"/>
              </w:rPr>
              <w:t>见4.3.1</w:t>
            </w:r>
          </w:p>
        </w:tc>
      </w:tr>
      <w:tr w14:paraId="1FCA03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1CA0FB5C">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val="en-US" w:eastAsia="zh-CN"/>
              </w:rPr>
            </w:pPr>
          </w:p>
        </w:tc>
        <w:tc>
          <w:tcPr>
            <w:tcW w:w="1995" w:type="dxa"/>
            <w:tcBorders>
              <w:top w:val="single" w:color="000000" w:sz="4" w:space="0"/>
              <w:left w:val="single" w:color="auto" w:sz="4" w:space="0"/>
              <w:bottom w:val="single" w:color="auto" w:sz="4" w:space="0"/>
              <w:right w:val="single" w:color="000000" w:sz="4" w:space="0"/>
            </w:tcBorders>
            <w:shd w:val="clear" w:color="auto" w:fill="FFFFFF"/>
            <w:vAlign w:val="center"/>
          </w:tcPr>
          <w:p w14:paraId="5D1F07B4">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薄层特征</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643E13DD">
            <w:pPr>
              <w:keepNext w:val="0"/>
              <w:keepLines w:val="0"/>
              <w:pageBreakBefore w:val="0"/>
              <w:kinsoku/>
              <w:wordWrap/>
              <w:overflowPunct/>
              <w:topLinePunct w:val="0"/>
              <w:autoSpaceDE/>
              <w:autoSpaceDN/>
              <w:bidi w:val="0"/>
              <w:adjustRightInd/>
              <w:jc w:val="center"/>
              <w:rPr>
                <w:rFonts w:hint="default" w:ascii="宋体" w:hAnsi="宋体" w:eastAsia="宋体" w:cs="宋体"/>
                <w:i w:val="0"/>
                <w:iCs w:val="0"/>
                <w:caps w:val="0"/>
                <w:color w:val="000000"/>
                <w:spacing w:val="0"/>
                <w:kern w:val="2"/>
                <w:sz w:val="18"/>
                <w:szCs w:val="18"/>
                <w:shd w:val="clear" w:fill="FFFFFF"/>
                <w:lang w:val="en-US" w:eastAsia="zh-CN" w:bidi="ar-SA"/>
              </w:rPr>
            </w:pPr>
            <w:r>
              <w:rPr>
                <w:rFonts w:hint="eastAsia" w:ascii="宋体" w:hAnsi="宋体" w:cs="宋体"/>
                <w:sz w:val="18"/>
                <w:szCs w:val="18"/>
                <w:highlight w:val="none"/>
                <w:lang w:val="en-US" w:eastAsia="zh-CN"/>
              </w:rPr>
              <w:t>见4.3.2</w:t>
            </w:r>
          </w:p>
        </w:tc>
      </w:tr>
      <w:tr w14:paraId="55455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tcBorders>
              <w:top w:val="single" w:color="auto" w:sz="4" w:space="0"/>
              <w:left w:val="single" w:color="auto" w:sz="4" w:space="0"/>
              <w:bottom w:val="single" w:color="auto" w:sz="4" w:space="0"/>
              <w:right w:val="single" w:color="auto" w:sz="4" w:space="0"/>
            </w:tcBorders>
            <w:shd w:val="clear" w:color="auto" w:fill="FFFFFF"/>
            <w:vAlign w:val="center"/>
          </w:tcPr>
          <w:p w14:paraId="784611D7">
            <w:pPr>
              <w:keepNext w:val="0"/>
              <w:keepLines w:val="0"/>
              <w:pageBreakBefore w:val="0"/>
              <w:kinsoku/>
              <w:wordWrap/>
              <w:overflowPunct/>
              <w:topLinePunct w:val="0"/>
              <w:autoSpaceDE/>
              <w:autoSpaceDN/>
              <w:bidi w:val="0"/>
              <w:adjustRightInd/>
              <w:jc w:val="center"/>
              <w:rPr>
                <w:rFonts w:hint="default" w:ascii="宋体" w:hAnsi="宋体" w:eastAsia="宋体" w:cs="宋体"/>
                <w:i w:val="0"/>
                <w:iCs w:val="0"/>
                <w:color w:val="auto"/>
                <w:sz w:val="18"/>
                <w:szCs w:val="18"/>
                <w:highlight w:val="none"/>
                <w:u w:val="none"/>
                <w:lang w:val="en-US" w:eastAsia="zh-CN"/>
              </w:rPr>
            </w:pPr>
            <w:r>
              <w:rPr>
                <w:rFonts w:hint="eastAsia" w:ascii="宋体" w:hAnsi="宋体" w:cs="宋体"/>
                <w:i w:val="0"/>
                <w:iCs w:val="0"/>
                <w:color w:val="auto"/>
                <w:sz w:val="18"/>
                <w:szCs w:val="18"/>
                <w:highlight w:val="none"/>
                <w:u w:val="none"/>
                <w:lang w:val="en-US" w:eastAsia="zh-CN"/>
              </w:rPr>
              <w:t>特征图谱</w:t>
            </w:r>
          </w:p>
        </w:tc>
        <w:tc>
          <w:tcPr>
            <w:tcW w:w="1995" w:type="dxa"/>
            <w:tcBorders>
              <w:top w:val="single" w:color="000000" w:sz="4" w:space="0"/>
              <w:left w:val="single" w:color="auto" w:sz="4" w:space="0"/>
              <w:bottom w:val="single" w:color="auto" w:sz="4" w:space="0"/>
              <w:right w:val="single" w:color="000000" w:sz="4" w:space="0"/>
            </w:tcBorders>
            <w:shd w:val="clear" w:color="auto" w:fill="FFFFFF"/>
            <w:vAlign w:val="center"/>
          </w:tcPr>
          <w:p w14:paraId="120D7562">
            <w:pPr>
              <w:keepNext w:val="0"/>
              <w:keepLines w:val="0"/>
              <w:pageBreakBefore w:val="0"/>
              <w:widowControl/>
              <w:suppressLineNumbers w:val="0"/>
              <w:kinsoku/>
              <w:wordWrap/>
              <w:overflowPunct/>
              <w:topLinePunct w:val="0"/>
              <w:autoSpaceDE/>
              <w:autoSpaceDN/>
              <w:bidi w:val="0"/>
              <w:adjustRightInd/>
              <w:jc w:val="center"/>
              <w:textAlignment w:val="center"/>
              <w:rPr>
                <w:rFonts w:hint="default" w:ascii="宋体" w:hAnsi="宋体" w:eastAsia="宋体" w:cs="宋体"/>
                <w:i w:val="0"/>
                <w:iCs w:val="0"/>
                <w:color w:val="auto"/>
                <w:kern w:val="0"/>
                <w:sz w:val="18"/>
                <w:szCs w:val="18"/>
                <w:highlight w:val="none"/>
                <w:u w:val="none"/>
                <w:lang w:val="en-US" w:eastAsia="zh-CN" w:bidi="ar"/>
              </w:rPr>
            </w:pPr>
            <w:r>
              <w:rPr>
                <w:rFonts w:hint="eastAsia" w:ascii="宋体" w:hAnsi="宋体" w:cs="宋体"/>
                <w:i w:val="0"/>
                <w:iCs w:val="0"/>
                <w:color w:val="auto"/>
                <w:kern w:val="0"/>
                <w:sz w:val="18"/>
                <w:szCs w:val="18"/>
                <w:highlight w:val="none"/>
                <w:u w:val="none"/>
                <w:lang w:val="en-US" w:eastAsia="zh-CN" w:bidi="ar"/>
              </w:rPr>
              <w:t>/</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7F12F020">
            <w:pPr>
              <w:keepNext w:val="0"/>
              <w:keepLines w:val="0"/>
              <w:pageBreakBefore w:val="0"/>
              <w:kinsoku/>
              <w:wordWrap/>
              <w:overflowPunct/>
              <w:topLinePunct w:val="0"/>
              <w:autoSpaceDE/>
              <w:autoSpaceDN/>
              <w:bidi w:val="0"/>
              <w:adjustRightInd/>
              <w:jc w:val="center"/>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照高效液相色谱法（通则0512测定），供试品色谱中应呈现5个特征峰，并应与对照药材参照物色谱峰中的5个特征峰保留时间相对应，其中峰1应与对照品参照物峰保留时间相对应。</w:t>
            </w:r>
          </w:p>
        </w:tc>
      </w:tr>
      <w:tr w14:paraId="41C4D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14:paraId="4FA002F3">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lang w:eastAsia="zh-CN"/>
              </w:rPr>
              <w:t>检查</w:t>
            </w:r>
          </w:p>
        </w:tc>
        <w:tc>
          <w:tcPr>
            <w:tcW w:w="1995" w:type="dxa"/>
            <w:tcBorders>
              <w:top w:val="single" w:color="auto" w:sz="4" w:space="0"/>
              <w:left w:val="single" w:color="auto" w:sz="4" w:space="0"/>
              <w:bottom w:val="single" w:color="auto" w:sz="4" w:space="0"/>
              <w:right w:val="single" w:color="auto" w:sz="4" w:space="0"/>
            </w:tcBorders>
            <w:shd w:val="clear" w:color="auto" w:fill="FFFFFF"/>
            <w:vAlign w:val="center"/>
          </w:tcPr>
          <w:p w14:paraId="20EF65A6">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水分</w:t>
            </w:r>
          </w:p>
        </w:tc>
        <w:tc>
          <w:tcPr>
            <w:tcW w:w="6203" w:type="dxa"/>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522BAF67">
            <w:pPr>
              <w:keepNext w:val="0"/>
              <w:keepLines w:val="0"/>
              <w:pageBreakBefore w:val="0"/>
              <w:kinsoku/>
              <w:wordWrap/>
              <w:overflowPunct/>
              <w:topLinePunct w:val="0"/>
              <w:autoSpaceDE/>
              <w:autoSpaceDN/>
              <w:bidi w:val="0"/>
              <w:adjustRightInd/>
              <w:ind w:firstLine="1620" w:firstLineChars="900"/>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rPr>
              <w:t>不得过1</w:t>
            </w:r>
            <w:r>
              <w:rPr>
                <w:rFonts w:hint="eastAsia" w:ascii="宋体" w:hAnsi="宋体" w:eastAsia="宋体" w:cs="宋体"/>
                <w:i w:val="0"/>
                <w:iCs w:val="0"/>
                <w:color w:val="auto"/>
                <w:sz w:val="18"/>
                <w:szCs w:val="18"/>
                <w:highlight w:val="none"/>
                <w:u w:val="none"/>
                <w:lang w:val="en-US" w:eastAsia="zh-CN"/>
              </w:rPr>
              <w:t>2</w:t>
            </w:r>
            <w:r>
              <w:rPr>
                <w:rFonts w:hint="eastAsia" w:ascii="宋体" w:hAnsi="宋体" w:eastAsia="宋体" w:cs="宋体"/>
                <w:i w:val="0"/>
                <w:iCs w:val="0"/>
                <w:color w:val="auto"/>
                <w:sz w:val="18"/>
                <w:szCs w:val="18"/>
                <w:highlight w:val="none"/>
                <w:u w:val="none"/>
              </w:rPr>
              <w:t>.0%</w:t>
            </w:r>
            <w:r>
              <w:rPr>
                <w:rFonts w:hint="eastAsia" w:ascii="宋体" w:hAnsi="宋体" w:eastAsia="宋体" w:cs="宋体"/>
                <w:i w:val="0"/>
                <w:iCs w:val="0"/>
                <w:color w:val="auto"/>
                <w:sz w:val="18"/>
                <w:szCs w:val="18"/>
                <w:highlight w:val="none"/>
                <w:u w:val="none"/>
                <w:lang w:eastAsia="zh-CN"/>
              </w:rPr>
              <w:t>。</w:t>
            </w:r>
          </w:p>
        </w:tc>
      </w:tr>
      <w:tr w14:paraId="3F5B0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150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3AAE7595">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auto" w:sz="4" w:space="0"/>
              <w:left w:val="single" w:color="auto" w:sz="4" w:space="0"/>
              <w:right w:val="single" w:color="auto" w:sz="4" w:space="0"/>
            </w:tcBorders>
            <w:shd w:val="clear" w:color="auto" w:fill="FFFFFF"/>
            <w:vAlign w:val="center"/>
          </w:tcPr>
          <w:p w14:paraId="2BF403BB">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灰分</w:t>
            </w:r>
          </w:p>
        </w:tc>
        <w:tc>
          <w:tcPr>
            <w:tcW w:w="6203" w:type="dxa"/>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6D7B9022">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不得过7.0%。</w:t>
            </w:r>
          </w:p>
        </w:tc>
      </w:tr>
      <w:tr w14:paraId="0226B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4821D49C">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auto" w:sz="4" w:space="0"/>
              <w:left w:val="single" w:color="auto" w:sz="4" w:space="0"/>
              <w:bottom w:val="single" w:color="auto" w:sz="4" w:space="0"/>
              <w:right w:val="single" w:color="auto" w:sz="4" w:space="0"/>
            </w:tcBorders>
            <w:shd w:val="clear" w:color="auto" w:fill="FFFFFF"/>
            <w:vAlign w:val="center"/>
          </w:tcPr>
          <w:p w14:paraId="3416BD8B">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醇溶性浸出物</w:t>
            </w:r>
          </w:p>
        </w:tc>
        <w:tc>
          <w:tcPr>
            <w:tcW w:w="6203" w:type="dxa"/>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504EA8F7">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eastAsia="zh-CN"/>
              </w:rPr>
            </w:pPr>
            <w:r>
              <w:rPr>
                <w:rFonts w:hint="eastAsia" w:ascii="宋体" w:hAnsi="宋体" w:eastAsia="宋体" w:cs="宋体"/>
                <w:i w:val="0"/>
                <w:iCs w:val="0"/>
                <w:color w:val="auto"/>
                <w:sz w:val="18"/>
                <w:szCs w:val="18"/>
                <w:highlight w:val="none"/>
                <w:u w:val="none"/>
              </w:rPr>
              <w:t>不得少于</w:t>
            </w:r>
            <w:r>
              <w:rPr>
                <w:rFonts w:hint="eastAsia" w:ascii="宋体" w:hAnsi="宋体" w:eastAsia="宋体" w:cs="宋体"/>
                <w:i w:val="0"/>
                <w:iCs w:val="0"/>
                <w:color w:val="auto"/>
                <w:sz w:val="18"/>
                <w:szCs w:val="18"/>
                <w:highlight w:val="none"/>
                <w:u w:val="none"/>
                <w:lang w:val="en-US" w:eastAsia="zh-CN"/>
              </w:rPr>
              <w:t>8.</w:t>
            </w:r>
            <w:r>
              <w:rPr>
                <w:rFonts w:hint="eastAsia" w:ascii="宋体" w:hAnsi="宋体" w:eastAsia="宋体" w:cs="宋体"/>
                <w:i w:val="0"/>
                <w:iCs w:val="0"/>
                <w:color w:val="auto"/>
                <w:sz w:val="18"/>
                <w:szCs w:val="18"/>
                <w:highlight w:val="none"/>
                <w:u w:val="none"/>
              </w:rPr>
              <w:t>0%</w:t>
            </w:r>
            <w:r>
              <w:rPr>
                <w:rFonts w:hint="eastAsia" w:ascii="宋体" w:hAnsi="宋体" w:eastAsia="宋体" w:cs="宋体"/>
                <w:i w:val="0"/>
                <w:iCs w:val="0"/>
                <w:color w:val="auto"/>
                <w:sz w:val="18"/>
                <w:szCs w:val="18"/>
                <w:highlight w:val="none"/>
                <w:u w:val="none"/>
                <w:lang w:eastAsia="zh-CN"/>
              </w:rPr>
              <w:t>。</w:t>
            </w:r>
          </w:p>
        </w:tc>
      </w:tr>
      <w:tr w14:paraId="3474A9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3D64074E">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auto" w:sz="4" w:space="0"/>
              <w:left w:val="single" w:color="auto" w:sz="4" w:space="0"/>
              <w:bottom w:val="single" w:color="auto" w:sz="4" w:space="0"/>
              <w:right w:val="single" w:color="auto" w:sz="4" w:space="0"/>
            </w:tcBorders>
            <w:shd w:val="clear" w:color="auto" w:fill="FFFFFF"/>
            <w:vAlign w:val="center"/>
          </w:tcPr>
          <w:p w14:paraId="3964FBCC">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二氧化硫</w:t>
            </w:r>
            <w:r>
              <w:rPr>
                <w:rFonts w:hint="eastAsia" w:ascii="宋体" w:hAnsi="宋体" w:cs="宋体"/>
                <w:i w:val="0"/>
                <w:iCs w:val="0"/>
                <w:color w:val="auto"/>
                <w:kern w:val="0"/>
                <w:sz w:val="18"/>
                <w:szCs w:val="18"/>
                <w:highlight w:val="none"/>
                <w:u w:val="none"/>
                <w:lang w:val="en-US" w:eastAsia="zh-CN" w:bidi="ar"/>
              </w:rPr>
              <w:t>残留</w:t>
            </w:r>
            <w:r>
              <w:rPr>
                <w:rFonts w:hint="eastAsia" w:ascii="宋体" w:hAnsi="宋体" w:eastAsia="宋体" w:cs="宋体"/>
                <w:i w:val="0"/>
                <w:iCs w:val="0"/>
                <w:color w:val="auto"/>
                <w:kern w:val="0"/>
                <w:sz w:val="18"/>
                <w:szCs w:val="18"/>
                <w:highlight w:val="none"/>
                <w:u w:val="none"/>
                <w:lang w:val="en-US" w:eastAsia="zh-CN" w:bidi="ar"/>
              </w:rPr>
              <w:t>*</w:t>
            </w:r>
          </w:p>
        </w:tc>
        <w:tc>
          <w:tcPr>
            <w:tcW w:w="6203" w:type="dxa"/>
            <w:gridSpan w:val="5"/>
            <w:tcBorders>
              <w:top w:val="single" w:color="000000" w:sz="4" w:space="0"/>
              <w:left w:val="single" w:color="auto" w:sz="4" w:space="0"/>
              <w:bottom w:val="single" w:color="000000" w:sz="4" w:space="0"/>
              <w:right w:val="single" w:color="000000" w:sz="4" w:space="0"/>
            </w:tcBorders>
            <w:shd w:val="clear" w:color="auto" w:fill="FFFFFF"/>
            <w:vAlign w:val="center"/>
          </w:tcPr>
          <w:p w14:paraId="1A0EB82F">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≤150mg/kg。</w:t>
            </w:r>
          </w:p>
        </w:tc>
      </w:tr>
      <w:tr w14:paraId="3DDC36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5810A63F">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auto" w:sz="4" w:space="0"/>
              <w:left w:val="single" w:color="auto" w:sz="4" w:space="0"/>
              <w:bottom w:val="single" w:color="auto" w:sz="4" w:space="0"/>
              <w:right w:val="single" w:color="auto" w:sz="4" w:space="0"/>
            </w:tcBorders>
            <w:shd w:val="clear" w:color="auto" w:fill="FFFFFF"/>
            <w:vAlign w:val="center"/>
          </w:tcPr>
          <w:p w14:paraId="7708F5D3">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农药残留*</w:t>
            </w:r>
          </w:p>
        </w:tc>
        <w:tc>
          <w:tcPr>
            <w:tcW w:w="6203" w:type="dxa"/>
            <w:gridSpan w:val="5"/>
            <w:tcBorders>
              <w:top w:val="single" w:color="000000" w:sz="4" w:space="0"/>
              <w:left w:val="single" w:color="auto" w:sz="4" w:space="0"/>
              <w:bottom w:val="single" w:color="auto" w:sz="4" w:space="0"/>
              <w:right w:val="single" w:color="000000" w:sz="4" w:space="0"/>
            </w:tcBorders>
            <w:shd w:val="clear" w:color="auto" w:fill="FFFFFF"/>
            <w:vAlign w:val="center"/>
          </w:tcPr>
          <w:p w14:paraId="4CBBD4C5">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sz w:val="18"/>
                <w:szCs w:val="18"/>
                <w:u w:val="none"/>
                <w:lang w:val="en-US" w:eastAsia="zh-CN"/>
              </w:rPr>
              <w:t>《中华人民共和国药典》2020年版通则0212中列出的</w:t>
            </w:r>
            <w:r>
              <w:rPr>
                <w:rFonts w:hint="eastAsia" w:ascii="宋体" w:hAnsi="宋体" w:cs="宋体"/>
                <w:i w:val="0"/>
                <w:iCs w:val="0"/>
                <w:color w:val="000000"/>
                <w:sz w:val="18"/>
                <w:szCs w:val="18"/>
                <w:u w:val="none"/>
                <w:lang w:val="en-US" w:eastAsia="zh-CN"/>
              </w:rPr>
              <w:t>禁用</w:t>
            </w:r>
            <w:r>
              <w:rPr>
                <w:rFonts w:hint="eastAsia" w:ascii="宋体" w:hAnsi="宋体" w:eastAsia="宋体" w:cs="宋体"/>
                <w:i w:val="0"/>
                <w:iCs w:val="0"/>
                <w:color w:val="000000"/>
                <w:sz w:val="18"/>
                <w:szCs w:val="18"/>
                <w:u w:val="none"/>
                <w:lang w:val="en-US" w:eastAsia="zh-CN"/>
              </w:rPr>
              <w:t>农药残留不得检出</w:t>
            </w:r>
          </w:p>
        </w:tc>
      </w:tr>
      <w:tr w14:paraId="752D81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auto" w:sz="4" w:space="0"/>
              <w:bottom w:val="single" w:color="auto" w:sz="4" w:space="0"/>
              <w:right w:val="single" w:color="auto" w:sz="4" w:space="0"/>
            </w:tcBorders>
            <w:shd w:val="clear" w:color="auto" w:fill="FFFFFF"/>
            <w:vAlign w:val="center"/>
          </w:tcPr>
          <w:p w14:paraId="3C28F3EA">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sz w:val="18"/>
                <w:szCs w:val="18"/>
                <w:highlight w:val="none"/>
                <w:u w:val="none"/>
              </w:rPr>
            </w:pPr>
          </w:p>
        </w:tc>
        <w:tc>
          <w:tcPr>
            <w:tcW w:w="1995" w:type="dxa"/>
            <w:tcBorders>
              <w:top w:val="single" w:color="000000" w:sz="4" w:space="0"/>
              <w:left w:val="single" w:color="000000" w:sz="4" w:space="0"/>
              <w:bottom w:val="single" w:color="000000" w:sz="4" w:space="0"/>
              <w:right w:val="single" w:color="auto" w:sz="4" w:space="0"/>
            </w:tcBorders>
            <w:shd w:val="clear" w:color="auto" w:fill="FFFFFF"/>
            <w:vAlign w:val="center"/>
          </w:tcPr>
          <w:p w14:paraId="45219506">
            <w:pPr>
              <w:keepNext w:val="0"/>
              <w:keepLines w:val="0"/>
              <w:pageBreakBefore w:val="0"/>
              <w:widowControl/>
              <w:suppressLineNumbers w:val="0"/>
              <w:kinsoku/>
              <w:wordWrap/>
              <w:overflowPunct/>
              <w:topLinePunct w:val="0"/>
              <w:autoSpaceDE/>
              <w:autoSpaceDN/>
              <w:bidi w:val="0"/>
              <w:adjustRightInd/>
              <w:jc w:val="center"/>
              <w:textAlignment w:val="center"/>
              <w:rPr>
                <w:rFonts w:hint="default" w:ascii="宋体" w:hAnsi="宋体" w:eastAsia="宋体" w:cs="宋体"/>
                <w:i w:val="0"/>
                <w:iCs w:val="0"/>
                <w:color w:val="auto"/>
                <w:sz w:val="18"/>
                <w:szCs w:val="18"/>
                <w:highlight w:val="none"/>
                <w:u w:val="none"/>
                <w:lang w:val="en-US"/>
              </w:rPr>
            </w:pPr>
            <w:r>
              <w:rPr>
                <w:rFonts w:hint="eastAsia" w:ascii="宋体" w:hAnsi="宋体" w:eastAsia="宋体" w:cs="宋体"/>
                <w:i w:val="0"/>
                <w:iCs w:val="0"/>
                <w:color w:val="auto"/>
                <w:kern w:val="0"/>
                <w:sz w:val="18"/>
                <w:szCs w:val="18"/>
                <w:highlight w:val="none"/>
                <w:u w:val="none"/>
                <w:lang w:val="en-US" w:eastAsia="zh-CN" w:bidi="ar"/>
              </w:rPr>
              <w:t>重金属</w:t>
            </w:r>
            <w:r>
              <w:rPr>
                <w:rFonts w:hint="eastAsia" w:ascii="宋体" w:hAnsi="宋体" w:cs="宋体"/>
                <w:i w:val="0"/>
                <w:iCs w:val="0"/>
                <w:color w:val="auto"/>
                <w:kern w:val="0"/>
                <w:sz w:val="18"/>
                <w:szCs w:val="18"/>
                <w:highlight w:val="none"/>
                <w:u w:val="none"/>
                <w:lang w:val="en-US" w:eastAsia="zh-CN" w:bidi="ar"/>
              </w:rPr>
              <w:t>残留*</w:t>
            </w:r>
          </w:p>
        </w:tc>
        <w:tc>
          <w:tcPr>
            <w:tcW w:w="6203" w:type="dxa"/>
            <w:gridSpan w:val="5"/>
            <w:tcBorders>
              <w:top w:val="single" w:color="auto" w:sz="4" w:space="0"/>
              <w:left w:val="single" w:color="auto" w:sz="4" w:space="0"/>
              <w:bottom w:val="single" w:color="auto" w:sz="4" w:space="0"/>
              <w:right w:val="single" w:color="auto" w:sz="4" w:space="0"/>
            </w:tcBorders>
            <w:shd w:val="clear" w:color="auto" w:fill="FFFFFF"/>
            <w:vAlign w:val="center"/>
          </w:tcPr>
          <w:p w14:paraId="166A9EF8">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kern w:val="2"/>
                <w:sz w:val="18"/>
                <w:szCs w:val="18"/>
                <w:highlight w:val="none"/>
                <w:u w:val="none"/>
                <w:lang w:val="en-US" w:eastAsia="zh-CN" w:bidi="ar-SA"/>
              </w:rPr>
              <w:t>铅不得过5mg/kg；镉不得过1mg/kg；砷不得过2mg/kg；汞不得过0.2mg/kg；铜不得过20mg/kg。</w:t>
            </w:r>
          </w:p>
        </w:tc>
      </w:tr>
      <w:tr w14:paraId="7BD605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tcBorders>
              <w:top w:val="single" w:color="auto" w:sz="4" w:space="0"/>
              <w:left w:val="single" w:color="000000" w:sz="4" w:space="0"/>
              <w:bottom w:val="single" w:color="auto" w:sz="4" w:space="0"/>
              <w:right w:val="single" w:color="000000" w:sz="4" w:space="0"/>
            </w:tcBorders>
            <w:shd w:val="clear" w:color="auto" w:fill="FFFFFF"/>
            <w:vAlign w:val="center"/>
          </w:tcPr>
          <w:p w14:paraId="71DEDEFC">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含量</w:t>
            </w:r>
          </w:p>
        </w:tc>
        <w:tc>
          <w:tcPr>
            <w:tcW w:w="1995" w:type="dxa"/>
            <w:tcBorders>
              <w:top w:val="single" w:color="000000" w:sz="4" w:space="0"/>
              <w:left w:val="nil"/>
              <w:bottom w:val="single" w:color="000000" w:sz="4" w:space="0"/>
              <w:right w:val="single" w:color="000000" w:sz="4" w:space="0"/>
            </w:tcBorders>
            <w:shd w:val="clear" w:color="auto" w:fill="FFFFFF"/>
            <w:vAlign w:val="center"/>
          </w:tcPr>
          <w:p w14:paraId="1D8E4700">
            <w:pPr>
              <w:keepNext w:val="0"/>
              <w:keepLines w:val="0"/>
              <w:pageBreakBefore w:val="0"/>
              <w:widowControl/>
              <w:suppressLineNumbers w:val="0"/>
              <w:kinsoku/>
              <w:wordWrap/>
              <w:overflowPunct/>
              <w:topLinePunct w:val="0"/>
              <w:autoSpaceDE/>
              <w:autoSpaceDN/>
              <w:bidi w:val="0"/>
              <w:adjustRightInd/>
              <w:ind w:left="0" w:leftChars="0" w:firstLine="0" w:firstLineChars="0"/>
              <w:jc w:val="center"/>
              <w:textAlignment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sz w:val="18"/>
                <w:szCs w:val="18"/>
                <w:highlight w:val="none"/>
                <w:u w:val="none"/>
                <w:lang w:val="en-US" w:eastAsia="zh-CN"/>
              </w:rPr>
              <w:t xml:space="preserve"> 无水葡萄糖（C</w:t>
            </w:r>
            <w:r>
              <w:rPr>
                <w:rFonts w:hint="eastAsia" w:ascii="宋体" w:hAnsi="宋体" w:eastAsia="宋体" w:cs="宋体"/>
                <w:i w:val="0"/>
                <w:iCs w:val="0"/>
                <w:color w:val="auto"/>
                <w:sz w:val="18"/>
                <w:szCs w:val="18"/>
                <w:highlight w:val="none"/>
                <w:u w:val="none"/>
                <w:vertAlign w:val="subscript"/>
                <w:lang w:val="en-US" w:eastAsia="zh-CN"/>
              </w:rPr>
              <w:t>6</w:t>
            </w:r>
            <w:r>
              <w:rPr>
                <w:rFonts w:hint="eastAsia" w:ascii="宋体" w:hAnsi="宋体" w:eastAsia="宋体" w:cs="宋体"/>
                <w:i w:val="0"/>
                <w:iCs w:val="0"/>
                <w:color w:val="auto"/>
                <w:sz w:val="18"/>
                <w:szCs w:val="18"/>
                <w:highlight w:val="none"/>
                <w:u w:val="none"/>
                <w:lang w:val="en-US" w:eastAsia="zh-CN"/>
              </w:rPr>
              <w:t>H</w:t>
            </w:r>
            <w:r>
              <w:rPr>
                <w:rFonts w:hint="eastAsia" w:ascii="宋体" w:hAnsi="宋体" w:eastAsia="宋体" w:cs="宋体"/>
                <w:i w:val="0"/>
                <w:iCs w:val="0"/>
                <w:color w:val="auto"/>
                <w:sz w:val="18"/>
                <w:szCs w:val="18"/>
                <w:highlight w:val="none"/>
                <w:u w:val="none"/>
                <w:vertAlign w:val="subscript"/>
                <w:lang w:val="en-US" w:eastAsia="zh-CN"/>
              </w:rPr>
              <w:t>12</w:t>
            </w:r>
            <w:r>
              <w:rPr>
                <w:rFonts w:hint="eastAsia" w:ascii="宋体" w:hAnsi="宋体" w:eastAsia="宋体" w:cs="宋体"/>
                <w:i w:val="0"/>
                <w:iCs w:val="0"/>
                <w:color w:val="auto"/>
                <w:sz w:val="18"/>
                <w:szCs w:val="18"/>
                <w:highlight w:val="none"/>
                <w:u w:val="none"/>
                <w:lang w:val="en-US" w:eastAsia="zh-CN"/>
              </w:rPr>
              <w:t>O</w:t>
            </w:r>
            <w:r>
              <w:rPr>
                <w:rFonts w:hint="eastAsia" w:ascii="宋体" w:hAnsi="宋体" w:eastAsia="宋体" w:cs="宋体"/>
                <w:i w:val="0"/>
                <w:iCs w:val="0"/>
                <w:color w:val="auto"/>
                <w:sz w:val="18"/>
                <w:szCs w:val="18"/>
                <w:highlight w:val="none"/>
                <w:u w:val="none"/>
                <w:vertAlign w:val="subscript"/>
                <w:lang w:val="en-US" w:eastAsia="zh-CN"/>
              </w:rPr>
              <w:t>6</w:t>
            </w:r>
            <w:r>
              <w:rPr>
                <w:rFonts w:hint="eastAsia" w:ascii="宋体" w:hAnsi="宋体" w:eastAsia="宋体" w:cs="宋体"/>
                <w:i w:val="0"/>
                <w:iCs w:val="0"/>
                <w:color w:val="auto"/>
                <w:sz w:val="18"/>
                <w:szCs w:val="18"/>
                <w:highlight w:val="none"/>
                <w:u w:val="none"/>
                <w:lang w:val="en-US" w:eastAsia="zh-CN"/>
              </w:rPr>
              <w:t>）</w:t>
            </w:r>
          </w:p>
        </w:tc>
        <w:tc>
          <w:tcPr>
            <w:tcW w:w="6203" w:type="dxa"/>
            <w:gridSpan w:val="5"/>
            <w:tcBorders>
              <w:top w:val="single" w:color="auto" w:sz="4" w:space="0"/>
              <w:left w:val="single" w:color="000000" w:sz="4" w:space="0"/>
              <w:bottom w:val="single" w:color="000000" w:sz="4" w:space="0"/>
              <w:right w:val="single" w:color="000000" w:sz="4" w:space="0"/>
            </w:tcBorders>
            <w:shd w:val="clear" w:color="auto" w:fill="FFFFFF"/>
            <w:vAlign w:val="center"/>
          </w:tcPr>
          <w:p w14:paraId="06FDF2F0">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kern w:val="2"/>
                <w:sz w:val="18"/>
                <w:szCs w:val="18"/>
                <w:highlight w:val="none"/>
                <w:u w:val="none"/>
                <w:lang w:val="en-US" w:eastAsia="zh-CN" w:bidi="ar-SA"/>
              </w:rPr>
            </w:pPr>
            <w:r>
              <w:rPr>
                <w:rFonts w:hint="eastAsia" w:ascii="宋体" w:hAnsi="宋体" w:eastAsia="宋体" w:cs="宋体"/>
                <w:i w:val="0"/>
                <w:iCs w:val="0"/>
                <w:color w:val="auto"/>
                <w:sz w:val="18"/>
                <w:szCs w:val="18"/>
                <w:highlight w:val="none"/>
                <w:u w:val="none"/>
                <w:lang w:val="en-US" w:eastAsia="zh-CN"/>
              </w:rPr>
              <w:t>不得少于17.0%</w:t>
            </w:r>
          </w:p>
        </w:tc>
      </w:tr>
      <w:tr w14:paraId="41AEA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restart"/>
            <w:tcBorders>
              <w:top w:val="single" w:color="auto" w:sz="4" w:space="0"/>
              <w:left w:val="single" w:color="000000" w:sz="4" w:space="0"/>
              <w:bottom w:val="single" w:color="auto" w:sz="4" w:space="0"/>
              <w:right w:val="single" w:color="000000" w:sz="4" w:space="0"/>
            </w:tcBorders>
            <w:shd w:val="clear" w:color="auto" w:fill="FFFFFF"/>
            <w:noWrap/>
            <w:vAlign w:val="center"/>
          </w:tcPr>
          <w:p w14:paraId="29CBACA8">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质量控制</w:t>
            </w: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852576">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可追溯*</w:t>
            </w:r>
          </w:p>
        </w:tc>
        <w:tc>
          <w:tcPr>
            <w:tcW w:w="6203"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14:paraId="2390CEBC">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通过第三方溯源评价</w:t>
            </w:r>
          </w:p>
        </w:tc>
      </w:tr>
      <w:tr w14:paraId="70623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1CB573C3">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kern w:val="0"/>
                <w:sz w:val="18"/>
                <w:szCs w:val="18"/>
                <w:highlight w:val="none"/>
                <w:u w:val="none"/>
                <w:lang w:val="en-US" w:eastAsia="zh-CN" w:bidi="ar"/>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1E1CE9">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GAP*</w:t>
            </w:r>
          </w:p>
        </w:tc>
        <w:tc>
          <w:tcPr>
            <w:tcW w:w="220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0479BC">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p>
        </w:tc>
        <w:tc>
          <w:tcPr>
            <w:tcW w:w="17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51F989">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139F03">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u w:val="none"/>
                <w:lang w:val="en-US" w:eastAsia="zh-CN" w:bidi="ar"/>
              </w:rPr>
              <w:t>GAP备案或</w:t>
            </w:r>
            <w:r>
              <w:rPr>
                <w:rFonts w:hint="eastAsia" w:ascii="宋体" w:hAnsi="宋体" w:eastAsia="宋体" w:cs="宋体"/>
                <w:bCs/>
                <w:color w:val="auto"/>
                <w:sz w:val="18"/>
                <w:szCs w:val="18"/>
                <w:lang w:val="en-US" w:eastAsia="zh-CN"/>
              </w:rPr>
              <w:t>延伸审查通过</w:t>
            </w:r>
          </w:p>
        </w:tc>
      </w:tr>
      <w:tr w14:paraId="56F8BC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502" w:type="dxa"/>
            <w:vMerge w:val="continue"/>
            <w:tcBorders>
              <w:top w:val="single" w:color="auto" w:sz="4" w:space="0"/>
              <w:left w:val="single" w:color="000000" w:sz="4" w:space="0"/>
              <w:bottom w:val="single" w:color="auto" w:sz="4" w:space="0"/>
              <w:right w:val="single" w:color="000000" w:sz="4" w:space="0"/>
            </w:tcBorders>
            <w:shd w:val="clear" w:color="auto" w:fill="FFFFFF"/>
            <w:noWrap/>
            <w:vAlign w:val="center"/>
          </w:tcPr>
          <w:p w14:paraId="05FA4728">
            <w:pPr>
              <w:keepNext w:val="0"/>
              <w:keepLines w:val="0"/>
              <w:pageBreakBefore w:val="0"/>
              <w:kinsoku/>
              <w:wordWrap/>
              <w:overflowPunct/>
              <w:topLinePunct w:val="0"/>
              <w:autoSpaceDE/>
              <w:autoSpaceDN/>
              <w:bidi w:val="0"/>
              <w:adjustRightInd/>
              <w:jc w:val="center"/>
              <w:rPr>
                <w:rFonts w:hint="eastAsia" w:ascii="宋体" w:hAnsi="宋体" w:eastAsia="宋体" w:cs="宋体"/>
                <w:i w:val="0"/>
                <w:iCs w:val="0"/>
                <w:color w:val="auto"/>
                <w:kern w:val="0"/>
                <w:sz w:val="18"/>
                <w:szCs w:val="18"/>
                <w:highlight w:val="none"/>
                <w:u w:val="none"/>
                <w:lang w:val="en-US" w:eastAsia="zh-CN" w:bidi="ar"/>
              </w:rPr>
            </w:pPr>
          </w:p>
        </w:tc>
        <w:tc>
          <w:tcPr>
            <w:tcW w:w="199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9CE7B6">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道地药材*</w:t>
            </w:r>
          </w:p>
        </w:tc>
        <w:tc>
          <w:tcPr>
            <w:tcW w:w="2207"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2C44F">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p>
        </w:tc>
        <w:tc>
          <w:tcPr>
            <w:tcW w:w="17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C0E997">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w:t>
            </w:r>
          </w:p>
        </w:tc>
        <w:tc>
          <w:tcPr>
            <w:tcW w:w="2225"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D73DE81">
            <w:pPr>
              <w:keepNext w:val="0"/>
              <w:keepLines w:val="0"/>
              <w:pageBreakBefore w:val="0"/>
              <w:widowControl/>
              <w:suppressLineNumbers w:val="0"/>
              <w:kinsoku/>
              <w:wordWrap/>
              <w:overflowPunct/>
              <w:topLinePunct w:val="0"/>
              <w:autoSpaceDE/>
              <w:autoSpaceDN/>
              <w:bidi w:val="0"/>
              <w:adjustRightInd/>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道地药材认证</w:t>
            </w:r>
          </w:p>
        </w:tc>
      </w:tr>
    </w:tbl>
    <w:p w14:paraId="5ECC7727">
      <w:pPr>
        <w:pageBreakBefore w:val="0"/>
        <w:kinsoku/>
        <w:wordWrap/>
        <w:overflowPunct/>
        <w:topLinePunct w:val="0"/>
        <w:bidi w:val="0"/>
        <w:adjustRightInd/>
        <w:spacing w:before="157" w:beforeLines="50" w:after="157" w:afterLines="50"/>
        <w:rPr>
          <w:rFonts w:hint="default" w:ascii="黑体" w:hAnsi="黑体" w:eastAsia="黑体"/>
          <w:bCs/>
          <w:color w:val="000000"/>
          <w:sz w:val="30"/>
          <w:szCs w:val="30"/>
          <w:highlight w:val="none"/>
          <w:lang w:val="en-US" w:eastAsia="zh-CN"/>
        </w:rPr>
      </w:pPr>
      <w:r>
        <w:rPr>
          <w:rFonts w:hint="default" w:ascii="黑体" w:hAnsi="黑体" w:eastAsia="黑体"/>
          <w:bCs/>
          <w:color w:val="000000"/>
          <w:sz w:val="30"/>
          <w:szCs w:val="30"/>
          <w:highlight w:val="none"/>
          <w:lang w:val="en-US" w:eastAsia="zh-CN"/>
        </w:rPr>
        <w:br w:type="page"/>
      </w:r>
    </w:p>
    <w:p w14:paraId="55714B8F">
      <w:pPr>
        <w:pageBreakBefore w:val="0"/>
        <w:kinsoku/>
        <w:wordWrap/>
        <w:overflowPunct/>
        <w:topLinePunct w:val="0"/>
        <w:bidi w:val="0"/>
        <w:adjustRightInd/>
        <w:spacing w:before="157" w:beforeLines="50" w:after="157" w:afterLines="50"/>
        <w:jc w:val="center"/>
        <w:outlineLvl w:val="0"/>
        <w:rPr>
          <w:rFonts w:hint="eastAsia" w:ascii="黑体" w:hAnsi="黑体" w:eastAsia="黑体"/>
          <w:strike w:val="0"/>
          <w:color w:val="000000"/>
          <w:szCs w:val="21"/>
          <w:highlight w:val="none"/>
          <w:lang w:val="en-US" w:eastAsia="zh-CN"/>
        </w:rPr>
      </w:pPr>
      <w:bookmarkStart w:id="91" w:name="_Toc17285"/>
      <w:bookmarkStart w:id="92" w:name="_Toc26132"/>
      <w:bookmarkStart w:id="93" w:name="_Toc21853"/>
      <w:r>
        <w:rPr>
          <w:rFonts w:hint="eastAsia" w:ascii="黑体" w:hAnsi="黑体" w:eastAsia="黑体"/>
          <w:strike w:val="0"/>
          <w:color w:val="000000"/>
          <w:szCs w:val="21"/>
          <w:highlight w:val="none"/>
          <w:lang w:val="en-US" w:eastAsia="zh-CN"/>
        </w:rPr>
        <w:t>附录A</w:t>
      </w:r>
    </w:p>
    <w:p w14:paraId="04387518">
      <w:pPr>
        <w:pageBreakBefore w:val="0"/>
        <w:kinsoku/>
        <w:wordWrap/>
        <w:overflowPunct/>
        <w:topLinePunct w:val="0"/>
        <w:bidi w:val="0"/>
        <w:adjustRightInd/>
        <w:spacing w:before="157" w:beforeLines="50" w:after="157" w:afterLines="50"/>
        <w:jc w:val="center"/>
        <w:outlineLvl w:val="0"/>
        <w:rPr>
          <w:rFonts w:hint="eastAsia" w:ascii="黑体" w:hAnsi="黑体" w:eastAsia="黑体"/>
          <w:strike w:val="0"/>
          <w:color w:val="000000"/>
          <w:szCs w:val="21"/>
          <w:highlight w:val="none"/>
          <w:lang w:val="en-US" w:eastAsia="zh-CN"/>
        </w:rPr>
      </w:pPr>
      <w:r>
        <w:rPr>
          <w:rFonts w:hint="eastAsia" w:ascii="黑体" w:hAnsi="黑体" w:eastAsia="黑体"/>
          <w:strike w:val="0"/>
          <w:color w:val="000000"/>
          <w:szCs w:val="21"/>
          <w:highlight w:val="none"/>
          <w:lang w:val="en-US" w:eastAsia="zh-CN"/>
        </w:rPr>
        <w:t>（规范性附录）</w:t>
      </w:r>
    </w:p>
    <w:p w14:paraId="5060FAEF">
      <w:pPr>
        <w:pStyle w:val="11"/>
        <w:widowControl w:val="0"/>
        <w:shd w:val="clear" w:color="auto" w:fill="FFFFFF"/>
        <w:spacing w:before="157" w:beforeLines="50" w:beforeAutospacing="0" w:after="157" w:afterLines="50" w:afterAutospacing="0" w:line="360" w:lineRule="auto"/>
        <w:jc w:val="center"/>
        <w:rPr>
          <w:rFonts w:hint="default" w:ascii="Times New Roman" w:hAnsi="Times New Roman" w:cs="Times New Roman" w:eastAsiaTheme="minorEastAsia"/>
          <w:kern w:val="2"/>
          <w:sz w:val="21"/>
          <w:szCs w:val="21"/>
          <w:lang w:val="en-US" w:eastAsia="zh-CN" w:bidi="ar-SA"/>
        </w:rPr>
      </w:pPr>
      <w:r>
        <w:rPr>
          <w:rFonts w:hint="eastAsia" w:ascii="黑体" w:hAnsi="黑体" w:eastAsia="黑体"/>
          <w:strike w:val="0"/>
          <w:color w:val="000000"/>
          <w:sz w:val="21"/>
          <w:szCs w:val="21"/>
          <w:highlight w:val="none"/>
          <w:lang w:val="en-US" w:eastAsia="zh-CN"/>
        </w:rPr>
        <w:t>霍山石斛集采交易规格等级性状图</w:t>
      </w:r>
    </w:p>
    <w:bookmarkEnd w:id="91"/>
    <w:bookmarkEnd w:id="92"/>
    <w:bookmarkEnd w:id="93"/>
    <w:p w14:paraId="27614DA8">
      <w:pPr>
        <w:pStyle w:val="6"/>
        <w:pageBreakBefore w:val="0"/>
        <w:kinsoku/>
        <w:wordWrap/>
        <w:overflowPunct/>
        <w:topLinePunct w:val="0"/>
        <w:bidi w:val="0"/>
        <w:adjustRightInd/>
        <w:snapToGrid/>
        <w:spacing w:before="157" w:beforeLines="50" w:after="157" w:afterLines="50"/>
        <w:jc w:val="center"/>
        <w:rPr>
          <w:rFonts w:hint="eastAsia" w:ascii="黑体" w:hAnsi="黑体" w:eastAsia="黑体"/>
          <w:strike w:val="0"/>
          <w:color w:val="000000"/>
          <w:sz w:val="21"/>
          <w:szCs w:val="21"/>
          <w:highlight w:val="none"/>
          <w:lang w:val="en-US" w:eastAsia="zh-CN"/>
        </w:rPr>
      </w:pPr>
      <w:r>
        <w:rPr>
          <w:rFonts w:hint="eastAsia" w:ascii="黑体" w:hAnsi="黑体" w:eastAsia="黑体"/>
          <w:strike w:val="0"/>
          <w:color w:val="000000"/>
          <w:sz w:val="21"/>
          <w:szCs w:val="21"/>
          <w:highlight w:val="none"/>
          <w:lang w:val="en-US" w:eastAsia="zh-CN"/>
        </w:rPr>
        <w:drawing>
          <wp:inline distT="0" distB="0" distL="114300" distR="114300">
            <wp:extent cx="3599815" cy="3290570"/>
            <wp:effectExtent l="0" t="0" r="6985" b="11430"/>
            <wp:docPr id="17" name="图片 17" descr="109-霍山石斛（统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109-霍山石斛（统货）"/>
                    <pic:cNvPicPr>
                      <a:picLocks noChangeAspect="1"/>
                    </pic:cNvPicPr>
                  </pic:nvPicPr>
                  <pic:blipFill>
                    <a:blip r:embed="rId15"/>
                    <a:srcRect l="5636" r="20229" b="4895"/>
                    <a:stretch>
                      <a:fillRect/>
                    </a:stretch>
                  </pic:blipFill>
                  <pic:spPr>
                    <a:xfrm>
                      <a:off x="0" y="0"/>
                      <a:ext cx="3599815" cy="3290570"/>
                    </a:xfrm>
                    <a:prstGeom prst="rect">
                      <a:avLst/>
                    </a:prstGeom>
                  </pic:spPr>
                </pic:pic>
              </a:graphicData>
            </a:graphic>
          </wp:inline>
        </w:drawing>
      </w:r>
    </w:p>
    <w:p w14:paraId="4C7B2476">
      <w:pPr>
        <w:pStyle w:val="6"/>
        <w:pageBreakBefore w:val="0"/>
        <w:kinsoku/>
        <w:wordWrap/>
        <w:overflowPunct/>
        <w:topLinePunct w:val="0"/>
        <w:bidi w:val="0"/>
        <w:adjustRightInd/>
        <w:snapToGrid/>
        <w:spacing w:before="157" w:beforeLines="50" w:after="157" w:afterLines="50"/>
        <w:jc w:val="center"/>
        <w:rPr>
          <w:rFonts w:hint="default" w:ascii="黑体" w:hAnsi="黑体" w:eastAsia="黑体"/>
          <w:bCs/>
          <w:color w:val="000000"/>
          <w:sz w:val="21"/>
          <w:szCs w:val="21"/>
          <w:highlight w:val="none"/>
          <w:lang w:val="en-US" w:eastAsia="zh-CN"/>
        </w:rPr>
      </w:pPr>
      <w:r>
        <w:rPr>
          <w:rFonts w:hint="eastAsia" w:ascii="黑体" w:hAnsi="黑体" w:eastAsia="黑体"/>
          <w:bCs/>
          <w:color w:val="000000"/>
          <w:sz w:val="21"/>
          <w:szCs w:val="21"/>
          <w:highlight w:val="none"/>
          <w:lang w:val="en-US" w:eastAsia="zh-CN"/>
        </w:rPr>
        <w:t>图A1 霍山石斛（统货）规格等级性状图</w:t>
      </w:r>
    </w:p>
    <w:p w14:paraId="2F552381">
      <w:pPr>
        <w:pStyle w:val="6"/>
        <w:pageBreakBefore w:val="0"/>
        <w:kinsoku/>
        <w:wordWrap/>
        <w:overflowPunct/>
        <w:topLinePunct w:val="0"/>
        <w:bidi w:val="0"/>
        <w:adjustRightInd/>
        <w:snapToGrid/>
        <w:spacing w:before="157" w:beforeLines="50" w:after="157" w:afterLines="50"/>
        <w:jc w:val="center"/>
        <w:rPr>
          <w:rFonts w:hint="eastAsia" w:ascii="黑体" w:hAnsi="黑体" w:eastAsia="黑体"/>
          <w:strike/>
          <w:color w:val="000000"/>
          <w:sz w:val="21"/>
          <w:szCs w:val="21"/>
          <w:highlight w:val="none"/>
          <w:lang w:eastAsia="zh-CN"/>
        </w:rPr>
      </w:pPr>
      <w:r>
        <w:rPr>
          <w:rFonts w:hint="eastAsia" w:ascii="黑体" w:hAnsi="黑体" w:eastAsia="黑体"/>
          <w:strike/>
          <w:color w:val="000000"/>
          <w:sz w:val="21"/>
          <w:szCs w:val="21"/>
          <w:highlight w:val="none"/>
          <w:lang w:eastAsia="zh-CN"/>
        </w:rPr>
        <w:drawing>
          <wp:inline distT="0" distB="0" distL="114300" distR="114300">
            <wp:extent cx="3599815" cy="2804795"/>
            <wp:effectExtent l="0" t="0" r="6985" b="1905"/>
            <wp:docPr id="18" name="图片 18" descr="109-霍山石斛（选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109-霍山石斛（选货）"/>
                    <pic:cNvPicPr>
                      <a:picLocks noChangeAspect="1"/>
                    </pic:cNvPicPr>
                  </pic:nvPicPr>
                  <pic:blipFill>
                    <a:blip r:embed="rId16"/>
                    <a:srcRect l="8561" t="20335" r="1945" b="6813"/>
                    <a:stretch>
                      <a:fillRect/>
                    </a:stretch>
                  </pic:blipFill>
                  <pic:spPr>
                    <a:xfrm>
                      <a:off x="0" y="0"/>
                      <a:ext cx="3599815" cy="2804795"/>
                    </a:xfrm>
                    <a:prstGeom prst="rect">
                      <a:avLst/>
                    </a:prstGeom>
                  </pic:spPr>
                </pic:pic>
              </a:graphicData>
            </a:graphic>
          </wp:inline>
        </w:drawing>
      </w:r>
    </w:p>
    <w:p w14:paraId="3BBDB124">
      <w:pPr>
        <w:pStyle w:val="6"/>
        <w:pageBreakBefore w:val="0"/>
        <w:kinsoku/>
        <w:wordWrap/>
        <w:overflowPunct/>
        <w:topLinePunct w:val="0"/>
        <w:bidi w:val="0"/>
        <w:adjustRightInd/>
        <w:snapToGrid/>
        <w:spacing w:before="157" w:beforeLines="50" w:after="157" w:afterLines="50"/>
        <w:jc w:val="center"/>
        <w:rPr>
          <w:rFonts w:hint="default" w:ascii="黑体" w:hAnsi="黑体" w:eastAsia="黑体"/>
          <w:bCs/>
          <w:color w:val="000000"/>
          <w:sz w:val="30"/>
          <w:szCs w:val="30"/>
          <w:highlight w:val="none"/>
          <w:lang w:val="en-US" w:eastAsia="zh-CN"/>
        </w:rPr>
      </w:pPr>
      <w:r>
        <w:rPr>
          <w:rFonts w:hint="eastAsia" w:ascii="黑体" w:hAnsi="黑体" w:eastAsia="黑体"/>
          <w:bCs/>
          <w:color w:val="000000"/>
          <w:sz w:val="21"/>
          <w:szCs w:val="21"/>
          <w:highlight w:val="none"/>
          <w:lang w:val="en-US" w:eastAsia="zh-CN"/>
        </w:rPr>
        <w:t>图A2 霍山石斛（选货）规格等级性状图</w:t>
      </w:r>
    </w:p>
    <w:p w14:paraId="005047BB">
      <w:pPr>
        <w:pStyle w:val="6"/>
        <w:pageBreakBefore w:val="0"/>
        <w:kinsoku/>
        <w:wordWrap/>
        <w:overflowPunct/>
        <w:topLinePunct w:val="0"/>
        <w:bidi w:val="0"/>
        <w:adjustRightInd/>
        <w:snapToGrid/>
        <w:spacing w:before="157" w:beforeLines="50" w:after="157" w:afterLines="50"/>
        <w:jc w:val="center"/>
        <w:rPr>
          <w:rFonts w:hint="eastAsia" w:ascii="黑体" w:hAnsi="黑体" w:eastAsia="黑体"/>
          <w:bCs/>
          <w:color w:val="000000"/>
          <w:sz w:val="32"/>
          <w:szCs w:val="32"/>
          <w:highlight w:val="none"/>
        </w:rPr>
      </w:pPr>
    </w:p>
    <w:p w14:paraId="37B12D7F">
      <w:pPr>
        <w:pStyle w:val="6"/>
        <w:pageBreakBefore w:val="0"/>
        <w:kinsoku/>
        <w:wordWrap/>
        <w:overflowPunct/>
        <w:topLinePunct w:val="0"/>
        <w:bidi w:val="0"/>
        <w:adjustRightInd/>
        <w:snapToGrid/>
        <w:spacing w:before="157" w:beforeLines="50" w:after="157" w:afterLines="50"/>
        <w:jc w:val="center"/>
        <w:rPr>
          <w:rFonts w:hint="eastAsia" w:ascii="黑体" w:hAnsi="黑体" w:eastAsia="黑体"/>
          <w:bCs/>
          <w:color w:val="000000"/>
          <w:sz w:val="32"/>
          <w:szCs w:val="32"/>
          <w:highlight w:val="none"/>
        </w:rPr>
      </w:pPr>
    </w:p>
    <w:p w14:paraId="2907A711">
      <w:pPr>
        <w:pStyle w:val="6"/>
        <w:pageBreakBefore w:val="0"/>
        <w:kinsoku/>
        <w:wordWrap/>
        <w:overflowPunct/>
        <w:topLinePunct w:val="0"/>
        <w:bidi w:val="0"/>
        <w:adjustRightInd/>
        <w:snapToGrid/>
        <w:spacing w:before="157" w:beforeLines="50" w:after="157" w:afterLines="50"/>
        <w:jc w:val="center"/>
        <w:rPr>
          <w:rFonts w:ascii="黑体" w:hAnsi="黑体" w:eastAsia="黑体"/>
          <w:bCs/>
          <w:color w:val="000000"/>
          <w:sz w:val="32"/>
          <w:szCs w:val="32"/>
          <w:highlight w:val="none"/>
        </w:rPr>
      </w:pPr>
      <w:r>
        <w:rPr>
          <w:rFonts w:hint="eastAsia" w:ascii="黑体" w:hAnsi="黑体" w:eastAsia="黑体"/>
          <w:bCs/>
          <w:color w:val="000000"/>
          <w:sz w:val="32"/>
          <w:szCs w:val="32"/>
          <w:highlight w:val="none"/>
        </w:rPr>
        <w:t xml:space="preserve"> </w:t>
      </w:r>
    </w:p>
    <w:bookmarkEnd w:id="23"/>
    <w:p w14:paraId="452076DC">
      <w:pPr>
        <w:pageBreakBefore w:val="0"/>
        <w:tabs>
          <w:tab w:val="center" w:pos="0"/>
          <w:tab w:val="center" w:pos="4201"/>
          <w:tab w:val="right" w:leader="dot" w:pos="9298"/>
        </w:tabs>
        <w:kinsoku/>
        <w:wordWrap/>
        <w:overflowPunct/>
        <w:topLinePunct w:val="0"/>
        <w:bidi w:val="0"/>
        <w:adjustRightInd/>
        <w:spacing w:before="157" w:beforeLines="50" w:after="157" w:afterLines="50"/>
        <w:jc w:val="center"/>
        <w:outlineLvl w:val="0"/>
        <w:rPr>
          <w:rFonts w:ascii="黑体" w:hAnsi="黑体" w:eastAsia="黑体" w:cs="宋体"/>
          <w:szCs w:val="21"/>
          <w:highlight w:val="none"/>
        </w:rPr>
      </w:pPr>
      <w:bookmarkStart w:id="94" w:name="_Toc26118"/>
      <w:bookmarkStart w:id="95" w:name="_Toc25047693"/>
      <w:bookmarkStart w:id="96" w:name="_Toc15722"/>
      <w:bookmarkStart w:id="97" w:name="_Toc7443"/>
      <w:bookmarkStart w:id="98" w:name="_Toc9701"/>
      <w:bookmarkStart w:id="99" w:name="_Toc16858"/>
      <w:bookmarkStart w:id="100" w:name="_Toc30293"/>
      <w:bookmarkStart w:id="101" w:name="_Toc21130"/>
      <w:bookmarkStart w:id="102" w:name="_Toc4347"/>
      <w:bookmarkStart w:id="103" w:name="_Toc883"/>
      <w:bookmarkStart w:id="104" w:name="_Toc27406"/>
      <w:r>
        <w:rPr>
          <w:rFonts w:hint="eastAsia" w:ascii="黑体" w:hAnsi="黑体" w:eastAsia="黑体" w:cs="宋体"/>
          <w:szCs w:val="21"/>
          <w:highlight w:val="none"/>
        </w:rPr>
        <w:t>参考文献</w:t>
      </w:r>
      <w:bookmarkEnd w:id="94"/>
      <w:bookmarkEnd w:id="95"/>
      <w:bookmarkEnd w:id="96"/>
      <w:bookmarkEnd w:id="97"/>
      <w:bookmarkEnd w:id="98"/>
      <w:bookmarkEnd w:id="99"/>
      <w:bookmarkEnd w:id="100"/>
      <w:bookmarkEnd w:id="101"/>
      <w:bookmarkEnd w:id="102"/>
      <w:bookmarkEnd w:id="103"/>
      <w:bookmarkEnd w:id="104"/>
    </w:p>
    <w:p w14:paraId="47380C5E">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 全国人民代表大会常务委员会.中华人民共和国中医药法[M].北京:法律出版社,2017.</w:t>
      </w:r>
    </w:p>
    <w:p w14:paraId="434801DF">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 国家药典委员会.中华人民共和国药典[M].北京:中国医药科技出版社,2020.</w:t>
      </w:r>
    </w:p>
    <w:p w14:paraId="30778586">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 黄璐琦,郭兰萍,詹志来,等.中药材商品规格等级标准编制通则[S].北京:中国医药科技出社,2018.</w:t>
      </w:r>
    </w:p>
    <w:p w14:paraId="5171F698">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 彭成.中华道地药材[M].中国中医药出版社,2013.</w:t>
      </w:r>
    </w:p>
    <w:p w14:paraId="26396771">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 肖小河,黄璐琦.中药材商品规格标准化研究[M].人民卫生出版社,2016.</w:t>
      </w:r>
    </w:p>
    <w:p w14:paraId="146EB6E1">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 黄璐琦,詹志来,郭兰萍,等.中药材商品规格等级标准汇编[G].中国中医药出版社,2019.</w:t>
      </w:r>
    </w:p>
    <w:p w14:paraId="3023EEEF">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 黄璐琦.道地药材品质保证技术研究[M].上海科学技术出版社,2017.</w:t>
      </w:r>
    </w:p>
    <w:p w14:paraId="219650DA">
      <w:pPr>
        <w:keepNext w:val="0"/>
        <w:keepLines w:val="0"/>
        <w:pageBreakBefore w:val="0"/>
        <w:widowControl w:val="0"/>
        <w:tabs>
          <w:tab w:val="center" w:pos="0"/>
          <w:tab w:val="center" w:pos="4201"/>
          <w:tab w:val="right" w:leader="dot" w:pos="9298"/>
        </w:tabs>
        <w:kinsoku/>
        <w:wordWrap/>
        <w:overflowPunct/>
        <w:topLinePunct w:val="0"/>
        <w:autoSpaceDE/>
        <w:autoSpaceDN/>
        <w:bidi w:val="0"/>
        <w:adjustRightInd/>
        <w:snapToGrid/>
        <w:spacing w:line="240" w:lineRule="auto"/>
        <w:jc w:val="left"/>
        <w:textAlignment w:val="auto"/>
        <w:rPr>
          <w:rFonts w:hint="eastAsia" w:ascii="宋体" w:hAnsi="宋体"/>
          <w:color w:val="auto"/>
        </w:rPr>
      </w:pPr>
      <w:r>
        <w:rPr>
          <w:rFonts w:hint="eastAsia" w:ascii="宋体" w:hAnsi="宋体" w:eastAsia="宋体" w:cs="宋体"/>
          <w:color w:val="000000" w:themeColor="text1"/>
          <w14:textFill>
            <w14:solidFill>
              <w14:schemeClr w14:val="tx1"/>
            </w14:solidFill>
          </w14:textFill>
        </w:rPr>
        <w:t>[8] 黄璐琦.《新编中国药材学》[M].中国医药科技出版社,2020.</w:t>
      </w:r>
      <w:r>
        <w:rPr>
          <w:rFonts w:hint="eastAsia" w:ascii="宋体" w:hAnsi="宋体"/>
          <w:color w:val="auto"/>
        </w:rPr>
        <mc:AlternateContent>
          <mc:Choice Requires="wps">
            <w:drawing>
              <wp:anchor distT="0" distB="0" distL="114300" distR="114300" simplePos="0" relativeHeight="251668480" behindDoc="0" locked="0" layoutInCell="1" allowOverlap="1">
                <wp:simplePos x="0" y="0"/>
                <wp:positionH relativeFrom="column">
                  <wp:posOffset>1309370</wp:posOffset>
                </wp:positionH>
                <wp:positionV relativeFrom="paragraph">
                  <wp:posOffset>648335</wp:posOffset>
                </wp:positionV>
                <wp:extent cx="2857500" cy="0"/>
                <wp:effectExtent l="0" t="7620" r="0" b="11430"/>
                <wp:wrapNone/>
                <wp:docPr id="1" name="直接箭头连接符 1"/>
                <wp:cNvGraphicFramePr/>
                <a:graphic xmlns:a="http://schemas.openxmlformats.org/drawingml/2006/main">
                  <a:graphicData uri="http://schemas.microsoft.com/office/word/2010/wordprocessingShape">
                    <wps:wsp>
                      <wps:cNvCnPr/>
                      <wps:spPr>
                        <a:xfrm>
                          <a:off x="0" y="0"/>
                          <a:ext cx="2857500"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3.1pt;margin-top:51.05pt;height:0pt;width:225pt;z-index:251668480;mso-width-relative:page;mso-height-relative:page;" filled="f" stroked="t" coordsize="21600,21600" o:gfxdata="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0QZUn1gAAAAsBAAAPAAAAAAAAAAEAIAAAACIAAABkcnMvZG93bnJldi54&#10;bWxQSwECFAAUAAAACACHTuJAshI6vPwBAADtAwAADgAAAAAAAAABACAAAAAlAQAAZHJzL2Uyb0Rv&#10;Yy54bWxQSwUGAAAAAAYABgBZAQAAkwUAAAAA&#10;">
                <v:fill on="f" focussize="0,0"/>
                <v:stroke weight="1.25pt" color="#000000" joinstyle="round"/>
                <v:imagedata o:title=""/>
                <o:lock v:ext="edit" aspectratio="f"/>
              </v:shape>
            </w:pict>
          </mc:Fallback>
        </mc:AlternateContent>
      </w:r>
    </w:p>
    <w:p w14:paraId="495A02D1">
      <w:pPr>
        <w:pageBreakBefore w:val="0"/>
        <w:kinsoku/>
        <w:wordWrap/>
        <w:overflowPunct/>
        <w:topLinePunct w:val="0"/>
        <w:bidi w:val="0"/>
        <w:adjustRightInd/>
        <w:spacing w:before="157" w:beforeLines="50" w:after="157" w:afterLines="50"/>
        <w:jc w:val="left"/>
        <w:rPr>
          <w:highlight w:val="none"/>
        </w:rPr>
      </w:pPr>
    </w:p>
    <w:p w14:paraId="6D1F8F37">
      <w:pPr>
        <w:pageBreakBefore w:val="0"/>
        <w:tabs>
          <w:tab w:val="left" w:pos="6408"/>
        </w:tabs>
        <w:kinsoku/>
        <w:wordWrap/>
        <w:overflowPunct/>
        <w:topLinePunct w:val="0"/>
        <w:bidi w:val="0"/>
        <w:adjustRightInd/>
        <w:spacing w:before="157" w:beforeLines="50" w:after="157" w:afterLines="50"/>
        <w:jc w:val="left"/>
        <w:rPr>
          <w:highlight w:val="none"/>
        </w:rPr>
      </w:pPr>
      <w:r>
        <w:rPr>
          <w:rFonts w:hint="eastAsia"/>
          <w:highlight w:val="none"/>
        </w:rPr>
        <w:tab/>
      </w:r>
    </w:p>
    <w:p w14:paraId="760707DE">
      <w:pPr>
        <w:pageBreakBefore w:val="0"/>
        <w:kinsoku/>
        <w:wordWrap/>
        <w:overflowPunct/>
        <w:topLinePunct w:val="0"/>
        <w:bidi w:val="0"/>
        <w:adjustRightInd/>
        <w:spacing w:before="157" w:beforeLines="50" w:after="157" w:afterLines="50"/>
        <w:rPr>
          <w:highlight w:val="none"/>
        </w:rPr>
      </w:pPr>
    </w:p>
    <w:sectPr>
      <w:footerReference r:id="rId12" w:type="default"/>
      <w:footerReference r:id="rId13" w:type="even"/>
      <w:pgSz w:w="11906" w:h="16838"/>
      <w:pgMar w:top="1417" w:right="1134" w:bottom="1134" w:left="1417" w:header="850" w:footer="850"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E79E25">
    <w:pPr>
      <w:pStyle w:val="6"/>
      <w:ind w:firstLine="360"/>
      <w:jc w:val="right"/>
    </w:pPr>
    <w:r>
      <w:fldChar w:fldCharType="begin"/>
    </w:r>
    <w:r>
      <w:instrText xml:space="preserve"> PAGE   \* MERGEFORMAT </w:instrText>
    </w:r>
    <w:r>
      <w:fldChar w:fldCharType="separate"/>
    </w:r>
    <w:r>
      <w:rPr>
        <w:lang w:val="zh-CN"/>
      </w:rPr>
      <w:t>III</w:t>
    </w:r>
    <w:r>
      <w:rPr>
        <w:lang w:val="zh-CN"/>
      </w:rPr>
      <w:fldChar w:fldCharType="end"/>
    </w:r>
  </w:p>
  <w:p w14:paraId="5E43B396">
    <w:pPr>
      <w:pStyle w:val="6"/>
      <w:ind w:left="-283" w:leftChars="-135"/>
      <w:jc w:val="right"/>
    </w:pPr>
  </w:p>
  <w:p w14:paraId="3335C54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526E3">
    <w:pPr>
      <w:pStyle w:val="6"/>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16</w:t>
    </w:r>
    <w:r>
      <w:rPr>
        <w:rFonts w:ascii="宋体" w:hAnsi="宋体"/>
      </w:rPr>
      <w:fldChar w:fldCharType="end"/>
    </w:r>
  </w:p>
  <w:p w14:paraId="6143AF23">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FE653">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BC814C">
    <w:pPr>
      <w:pStyle w:val="6"/>
      <w:ind w:firstLine="360"/>
      <w:jc w:val="right"/>
    </w:pPr>
    <w:r>
      <w:rPr>
        <w:sz w:val="18"/>
      </w:rP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940366">
                          <w:pPr>
                            <w:pStyle w:val="6"/>
                            <w:ind w:firstLine="360"/>
                            <w:jc w:val="right"/>
                          </w:pPr>
                          <w:r>
                            <w:fldChar w:fldCharType="begin"/>
                          </w:r>
                          <w:r>
                            <w:instrText xml:space="preserve"> PAGE   \* MERGEFORMAT </w:instrText>
                          </w:r>
                          <w:r>
                            <w:fldChar w:fldCharType="separate"/>
                          </w:r>
                          <w:r>
                            <w:rPr>
                              <w:lang w:val="zh-CN"/>
                            </w:rPr>
                            <w:t>5</w:t>
                          </w:r>
                          <w:r>
                            <w:rPr>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75940366">
                    <w:pPr>
                      <w:pStyle w:val="6"/>
                      <w:ind w:firstLine="360"/>
                      <w:jc w:val="right"/>
                    </w:pPr>
                    <w:r>
                      <w:fldChar w:fldCharType="begin"/>
                    </w:r>
                    <w:r>
                      <w:instrText xml:space="preserve"> PAGE   \* MERGEFORMAT </w:instrText>
                    </w:r>
                    <w:r>
                      <w:fldChar w:fldCharType="separate"/>
                    </w:r>
                    <w:r>
                      <w:rPr>
                        <w:lang w:val="zh-CN"/>
                      </w:rPr>
                      <w:t>5</w:t>
                    </w:r>
                    <w:r>
                      <w:rPr>
                        <w:lang w:val="zh-CN"/>
                      </w:rPr>
                      <w:fldChar w:fldCharType="end"/>
                    </w:r>
                  </w:p>
                </w:txbxContent>
              </v:textbox>
            </v:shape>
          </w:pict>
        </mc:Fallback>
      </mc:AlternateContent>
    </w:r>
  </w:p>
  <w:p w14:paraId="2E2723E9">
    <w:pPr>
      <w:pStyle w:val="6"/>
      <w:ind w:left="-283" w:leftChars="-135"/>
      <w:jc w:val="right"/>
    </w:pPr>
  </w:p>
  <w:p w14:paraId="1E38B5B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84059">
    <w:pPr>
      <w:pStyle w:val="6"/>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6</w:t>
    </w:r>
    <w:r>
      <w:rPr>
        <w:rFonts w:ascii="宋体" w:hAnsi="宋体"/>
        <w:lang w:val="zh-CN"/>
      </w:rPr>
      <w:fldChar w:fldCharType="end"/>
    </w:r>
  </w:p>
  <w:p w14:paraId="649E7C94">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D88BC">
    <w:pPr>
      <w:spacing w:line="200" w:lineRule="exact"/>
      <w:rPr>
        <w:sz w:val="20"/>
        <w:szCs w:val="20"/>
      </w:rPr>
    </w:pP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255270" cy="2349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55270" cy="234950"/>
                      </a:xfrm>
                      <a:prstGeom prst="rect">
                        <a:avLst/>
                      </a:prstGeom>
                      <a:noFill/>
                      <a:ln>
                        <a:noFill/>
                      </a:ln>
                    </wps:spPr>
                    <wps:txbx>
                      <w:txbxContent>
                        <w:p w14:paraId="18395243">
                          <w:pPr>
                            <w:spacing w:line="200" w:lineRule="exact"/>
                            <w:ind w:left="40"/>
                            <w:jc w:val="left"/>
                            <w:rPr>
                              <w:rFonts w:ascii="宋体" w:hAnsi="宋体" w:cs="宋体"/>
                              <w:sz w:val="18"/>
                              <w:szCs w:val="18"/>
                            </w:rPr>
                          </w:pPr>
                          <w:r>
                            <w:fldChar w:fldCharType="begin"/>
                          </w:r>
                          <w:r>
                            <w:rPr>
                              <w:rFonts w:ascii="宋体" w:hAnsi="宋体" w:cs="宋体"/>
                              <w:sz w:val="18"/>
                              <w:szCs w:val="18"/>
                            </w:rPr>
                            <w:instrText xml:space="preserve"> PAGE </w:instrText>
                          </w:r>
                          <w:r>
                            <w:fldChar w:fldCharType="separate"/>
                          </w:r>
                          <w:r>
                            <w:rPr>
                              <w:rFonts w:ascii="宋体" w:hAnsi="宋体" w:cs="宋体"/>
                              <w:sz w:val="18"/>
                              <w:szCs w:val="18"/>
                            </w:rPr>
                            <w:t>7</w:t>
                          </w:r>
                          <w:r>
                            <w:fldChar w:fldCharType="end"/>
                          </w:r>
                        </w:p>
                      </w:txbxContent>
                    </wps:txbx>
                    <wps:bodyPr lIns="0" tIns="0" rIns="0" bIns="0" upright="1"/>
                  </wps:wsp>
                </a:graphicData>
              </a:graphic>
            </wp:anchor>
          </w:drawing>
        </mc:Choice>
        <mc:Fallback>
          <w:pict>
            <v:shape id="_x0000_s1026" o:spid="_x0000_s1026" o:spt="202" type="#_x0000_t202" style="position:absolute;left:0pt;margin-top:0pt;height:18.5pt;width:20.1pt;mso-position-horizontal:right;mso-position-horizontal-relative:margin;z-index:251665408;mso-width-relative:page;mso-height-relative:page;" filled="f" stroked="f" coordsize="21600,21600" o:gfxdata="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cV8+JtQAAAADAQAADwAAAAAAAAABACAAAAAiAAAAZHJzL2Rvd25yZXYueG1sUEsBAhQAFAAA&#10;AAgAh07iQFBKG4S6AQAAcQMAAA4AAAAAAAAAAQAgAAAAIwEAAGRycy9lMm9Eb2MueG1sUEsFBgAA&#10;AAAGAAYAWQEAAE8FAAAAAA==&#10;">
              <v:fill on="f" focussize="0,0"/>
              <v:stroke on="f"/>
              <v:imagedata o:title=""/>
              <o:lock v:ext="edit" aspectratio="f"/>
              <v:textbox inset="0mm,0mm,0mm,0mm">
                <w:txbxContent>
                  <w:p w14:paraId="18395243">
                    <w:pPr>
                      <w:spacing w:line="200" w:lineRule="exact"/>
                      <w:ind w:left="40"/>
                      <w:jc w:val="left"/>
                      <w:rPr>
                        <w:rFonts w:ascii="宋体" w:hAnsi="宋体" w:cs="宋体"/>
                        <w:sz w:val="18"/>
                        <w:szCs w:val="18"/>
                      </w:rPr>
                    </w:pPr>
                    <w:r>
                      <w:fldChar w:fldCharType="begin"/>
                    </w:r>
                    <w:r>
                      <w:rPr>
                        <w:rFonts w:ascii="宋体" w:hAnsi="宋体" w:cs="宋体"/>
                        <w:sz w:val="18"/>
                        <w:szCs w:val="18"/>
                      </w:rPr>
                      <w:instrText xml:space="preserve"> PAGE </w:instrText>
                    </w:r>
                    <w:r>
                      <w:fldChar w:fldCharType="separate"/>
                    </w:r>
                    <w:r>
                      <w:rPr>
                        <w:rFonts w:ascii="宋体" w:hAnsi="宋体" w:cs="宋体"/>
                        <w:sz w:val="18"/>
                        <w:szCs w:val="18"/>
                      </w:rPr>
                      <w:t>7</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49989"/>
    </w:sdtPr>
    <w:sdtContent>
      <w:p w14:paraId="79C396D6">
        <w:pPr>
          <w:pStyle w:val="6"/>
        </w:pPr>
        <w:r>
          <w:fldChar w:fldCharType="begin"/>
        </w:r>
        <w:r>
          <w:instrText xml:space="preserve">PAGE   \* MERGEFORMAT</w:instrText>
        </w:r>
        <w:r>
          <w:fldChar w:fldCharType="separate"/>
        </w:r>
        <w:r>
          <w:rPr>
            <w:lang w:val="zh-CN"/>
          </w:rPr>
          <w:t>8</w:t>
        </w:r>
        <w:r>
          <w:fldChar w:fldCharType="end"/>
        </w:r>
      </w:p>
    </w:sdtContent>
  </w:sdt>
  <w:p w14:paraId="0F6131E2">
    <w:pPr>
      <w:spacing w:line="200" w:lineRule="exact"/>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62BA">
    <w:pPr>
      <w:pStyle w:val="21"/>
      <w:rPr>
        <w:rFonts w:hint="eastAsia" w:ascii="黑体" w:hAnsi="黑体" w:eastAsia="黑体"/>
        <w:sz w:val="21"/>
        <w:szCs w:val="21"/>
        <w:lang w:eastAsia="zh-CN"/>
      </w:rPr>
    </w:pPr>
    <w:r>
      <w:rPr>
        <w:sz w:val="21"/>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600D5B45">
                          <w:pPr>
                            <w:pStyle w:val="7"/>
                          </w:pPr>
                          <w:r>
                            <w:fldChar w:fldCharType="begin"/>
                          </w:r>
                          <w:r>
                            <w:instrText xml:space="preserve"> PAGE  \* MERGEFORMAT </w:instrText>
                          </w:r>
                          <w:r>
                            <w:fldChar w:fldCharType="separate"/>
                          </w:r>
                          <w:r>
                            <w:t>I</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44pt;width:144pt;mso-position-horizontal:in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O&#10;qXm5zwAAAAUBAAAPAAAAAAAAAAEAIAAAACIAAABkcnMvZG93bnJldi54bWxQSwECFAAUAAAACACH&#10;TuJAfIm5D/QBAAADBAAADgAAAAAAAAABACAAAAAeAQAAZHJzL2Uyb0RvYy54bWxQSwUGAAAAAAYA&#10;BgBZAQAAhAUAAAAA&#10;">
              <v:fill on="f" focussize="0,0"/>
              <v:stroke on="f"/>
              <v:imagedata o:title=""/>
              <o:lock v:ext="edit" aspectratio="f"/>
              <v:textbox inset="0mm,0mm,0mm,0mm" style="mso-fit-shape-to-text:t;">
                <w:txbxContent>
                  <w:p w14:paraId="600D5B45">
                    <w:pPr>
                      <w:pStyle w:val="7"/>
                    </w:pPr>
                    <w:r>
                      <w:fldChar w:fldCharType="begin"/>
                    </w:r>
                    <w:r>
                      <w:instrText xml:space="preserve"> PAGE  \* MERGEFORMAT </w:instrText>
                    </w:r>
                    <w:r>
                      <w:fldChar w:fldCharType="separate"/>
                    </w:r>
                    <w:r>
                      <w:t>I</w:t>
                    </w:r>
                    <w:r>
                      <w:fldChar w:fldCharType="end"/>
                    </w:r>
                  </w:p>
                </w:txbxContent>
              </v:textbox>
            </v:shape>
          </w:pict>
        </mc:Fallback>
      </mc:AlternateContent>
    </w:r>
    <w:r>
      <w:rPr>
        <w:rFonts w:ascii="黑体" w:hAnsi="黑体" w:eastAsia="黑体"/>
        <w:sz w:val="21"/>
        <w:szCs w:val="21"/>
      </w:rPr>
      <w:t xml:space="preserve">RB </w:t>
    </w:r>
    <w:r>
      <w:rPr>
        <w:rFonts w:hint="eastAsia" w:ascii="黑体" w:hAnsi="黑体" w:eastAsia="黑体"/>
        <w:sz w:val="21"/>
        <w:szCs w:val="21"/>
        <w:lang w:eastAsia="zh-CN"/>
      </w:rPr>
      <w:t>石斛石斛</w:t>
    </w:r>
    <w:r>
      <w:rPr>
        <w:rFonts w:ascii="黑体" w:hAnsi="黑体" w:eastAsia="黑体"/>
        <w:sz w:val="21"/>
        <w:szCs w:val="21"/>
      </w:rPr>
      <w:t>X—</w:t>
    </w:r>
    <w:r>
      <w:rPr>
        <w:rFonts w:hint="eastAsia" w:ascii="黑体" w:hAnsi="黑体" w:eastAsia="黑体"/>
        <w:sz w:val="21"/>
        <w:szCs w:val="21"/>
        <w:lang w:eastAsia="zh-CN"/>
      </w:rPr>
      <w:t>石斛石斛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A065A6">
    <w:pPr>
      <w:pStyle w:val="7"/>
      <w:pBdr>
        <w:bottom w:val="none" w:color="auto" w:sz="0" w:space="1"/>
      </w:pBdr>
      <w:jc w:val="left"/>
    </w:pPr>
    <w:r>
      <w:rPr>
        <w:rFonts w:hint="eastAsia" w:ascii="黑体" w:hAnsi="黑体" w:eastAsia="黑体"/>
        <w:sz w:val="21"/>
        <w:szCs w:val="21"/>
        <w:lang w:val="en-US" w:eastAsia="zh-CN"/>
      </w:rPr>
      <w:t>T</w:t>
    </w:r>
    <w:r>
      <w:rPr>
        <w:rFonts w:hint="eastAsia" w:ascii="黑体" w:hAnsi="黑体" w:eastAsia="黑体"/>
        <w:sz w:val="21"/>
        <w:szCs w:val="21"/>
      </w:rPr>
      <w:t>/ZGXCFZXH</w:t>
    </w:r>
    <w:r>
      <w:rPr>
        <w:rFonts w:ascii="黑体" w:hAnsi="黑体" w:eastAsia="黑体"/>
        <w:sz w:val="21"/>
        <w:szCs w:val="21"/>
      </w:rPr>
      <w:t xml:space="preserve"> </w:t>
    </w:r>
    <w:r>
      <w:rPr>
        <w:rFonts w:hint="eastAsia" w:ascii="黑体" w:hAnsi="黑体" w:eastAsia="黑体"/>
        <w:sz w:val="21"/>
        <w:szCs w:val="21"/>
        <w:lang w:val="en-US" w:eastAsia="zh-CN"/>
      </w:rPr>
      <w:t>0001.</w:t>
    </w:r>
    <w:r>
      <w:rPr>
        <w:rFonts w:hint="eastAsia" w:ascii="黑体" w:hAnsi="黑体" w:eastAsia="黑体"/>
        <w:sz w:val="21"/>
        <w:szCs w:val="21"/>
        <w:highlight w:val="none"/>
        <w:lang w:val="en-US" w:eastAsia="zh-CN"/>
      </w:rPr>
      <w:t>2</w:t>
    </w:r>
    <w:r>
      <w:rPr>
        <w:rFonts w:hint="eastAsia" w:ascii="黑体" w:hAnsi="黑体" w:eastAsia="黑体"/>
        <w:sz w:val="21"/>
        <w:szCs w:val="21"/>
        <w:lang w:val="en-US" w:eastAsia="zh-CN"/>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1C76E3">
    <w: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58420" cy="161925"/>
              <wp:effectExtent l="0" t="0" r="0" b="0"/>
              <wp:wrapNone/>
              <wp:docPr id="3" name="Text Box 1"/>
              <wp:cNvGraphicFramePr/>
              <a:graphic xmlns:a="http://schemas.openxmlformats.org/drawingml/2006/main">
                <a:graphicData uri="http://schemas.microsoft.com/office/word/2010/wordprocessingShape">
                  <wps:wsp>
                    <wps:cNvSpPr txBox="1">
                      <a:spLocks noChangeArrowheads="1"/>
                    </wps:cNvSpPr>
                    <wps:spPr bwMode="auto">
                      <a:xfrm>
                        <a:off x="0" y="0"/>
                        <a:ext cx="58420" cy="161925"/>
                      </a:xfrm>
                      <a:prstGeom prst="rect">
                        <a:avLst/>
                      </a:prstGeom>
                      <a:noFill/>
                      <a:ln>
                        <a:noFill/>
                      </a:ln>
                    </wps:spPr>
                    <wps:txbx>
                      <w:txbxContent>
                        <w:p w14:paraId="674FF437">
                          <w:pPr>
                            <w:pStyle w:val="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2.75pt;width:4.6pt;mso-position-horizontal:inside;mso-position-horizontal-relative:margin;mso-wrap-style:none;z-index:251664384;mso-width-relative:page;mso-height-relative:page;" filled="f" stroked="f" coordsize="21600,21600" o:gfxdata="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icHeo0QAAAAIBAAAPAAAAAAAAAAEAIAAAACIAAABkcnMvZG93bnJldi54bWxQSwECFAAU&#10;AAAACACHTuJAI46PA/gBAAAABAAADgAAAAAAAAABACAAAAAgAQAAZHJzL2Uyb0RvYy54bWxQSwUG&#10;AAAAAAYABgBZAQAAigUAAAAA&#10;">
              <v:fill on="f" focussize="0,0"/>
              <v:stroke on="f"/>
              <v:imagedata o:title=""/>
              <o:lock v:ext="edit" aspectratio="f"/>
              <v:textbox inset="0mm,0mm,0mm,0mm" style="mso-fit-shape-to-text:t;">
                <w:txbxContent>
                  <w:p w14:paraId="674FF437">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 xml:space="preserve">RB/T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15D96">
    <w:pPr>
      <w:pStyle w:val="7"/>
      <w:pBdr>
        <w:bottom w:val="none" w:color="auto" w:sz="0" w:space="1"/>
      </w:pBdr>
      <w:jc w:val="right"/>
    </w:pPr>
    <w:r>
      <w:rPr>
        <w:rFonts w:hint="eastAsia" w:ascii="黑体" w:hAnsi="黑体" w:eastAsia="黑体"/>
        <w:sz w:val="21"/>
        <w:szCs w:val="21"/>
        <w:lang w:val="en-US" w:eastAsia="zh-CN"/>
      </w:rPr>
      <w:t>T</w:t>
    </w:r>
    <w:r>
      <w:rPr>
        <w:rFonts w:hint="eastAsia" w:ascii="黑体" w:hAnsi="黑体" w:eastAsia="黑体"/>
        <w:sz w:val="21"/>
        <w:szCs w:val="21"/>
      </w:rPr>
      <w:t>/ZGXCFZXH</w:t>
    </w:r>
    <w:r>
      <w:rPr>
        <w:rFonts w:ascii="黑体" w:hAnsi="黑体" w:eastAsia="黑体"/>
        <w:sz w:val="21"/>
        <w:szCs w:val="21"/>
      </w:rPr>
      <w:t xml:space="preserve"> </w:t>
    </w:r>
    <w:r>
      <w:rPr>
        <w:rFonts w:hint="eastAsia" w:ascii="黑体" w:hAnsi="黑体" w:eastAsia="黑体"/>
        <w:sz w:val="21"/>
        <w:szCs w:val="21"/>
        <w:lang w:val="en-US" w:eastAsia="zh-CN"/>
      </w:rPr>
      <w:t>0001.</w:t>
    </w:r>
    <w:r>
      <w:rPr>
        <w:rFonts w:hint="eastAsia" w:ascii="黑体" w:hAnsi="黑体" w:eastAsia="黑体"/>
        <w:sz w:val="21"/>
        <w:szCs w:val="21"/>
        <w:highlight w:val="none"/>
        <w:lang w:val="en-US" w:eastAsia="zh-CN"/>
      </w:rPr>
      <w:t>26</w:t>
    </w:r>
    <w:r>
      <w:rPr>
        <w:rFonts w:hint="eastAsia" w:ascii="黑体" w:hAnsi="黑体" w:eastAsia="黑体"/>
        <w:sz w:val="21"/>
        <w:szCs w:val="21"/>
        <w:lang w:val="en-US" w:eastAsia="zh-CN"/>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zNThhZGZiODc5NTE3ODAxMDU0YWNiOGMyYThjMmYifQ=="/>
  </w:docVars>
  <w:rsids>
    <w:rsidRoot w:val="15B2766E"/>
    <w:rsid w:val="015E14AC"/>
    <w:rsid w:val="040F75B9"/>
    <w:rsid w:val="045E38D4"/>
    <w:rsid w:val="06F30B83"/>
    <w:rsid w:val="07D478A0"/>
    <w:rsid w:val="0CC04BD0"/>
    <w:rsid w:val="0E6F27EB"/>
    <w:rsid w:val="0EFD2A55"/>
    <w:rsid w:val="10F43D39"/>
    <w:rsid w:val="11D664BF"/>
    <w:rsid w:val="15031585"/>
    <w:rsid w:val="15B2766E"/>
    <w:rsid w:val="15C6793E"/>
    <w:rsid w:val="16AC3C33"/>
    <w:rsid w:val="186662F2"/>
    <w:rsid w:val="1A7A7A3E"/>
    <w:rsid w:val="1B5A68E3"/>
    <w:rsid w:val="1B760B79"/>
    <w:rsid w:val="1B78507E"/>
    <w:rsid w:val="1C6E08FD"/>
    <w:rsid w:val="1C8675B7"/>
    <w:rsid w:val="1E861C86"/>
    <w:rsid w:val="209842EF"/>
    <w:rsid w:val="23492C57"/>
    <w:rsid w:val="23DE22F0"/>
    <w:rsid w:val="24284DA4"/>
    <w:rsid w:val="244E2A7B"/>
    <w:rsid w:val="24B36878"/>
    <w:rsid w:val="28137B19"/>
    <w:rsid w:val="28550131"/>
    <w:rsid w:val="29AB127F"/>
    <w:rsid w:val="2A753B73"/>
    <w:rsid w:val="2ABA74AB"/>
    <w:rsid w:val="2D505B89"/>
    <w:rsid w:val="31126BC0"/>
    <w:rsid w:val="345D203E"/>
    <w:rsid w:val="352D7F76"/>
    <w:rsid w:val="356572EB"/>
    <w:rsid w:val="3662101F"/>
    <w:rsid w:val="38703642"/>
    <w:rsid w:val="38CC04D3"/>
    <w:rsid w:val="39455658"/>
    <w:rsid w:val="398E66CE"/>
    <w:rsid w:val="3D6E4B28"/>
    <w:rsid w:val="3F5716D8"/>
    <w:rsid w:val="413E5246"/>
    <w:rsid w:val="41547434"/>
    <w:rsid w:val="46566D64"/>
    <w:rsid w:val="474451A1"/>
    <w:rsid w:val="47AE6527"/>
    <w:rsid w:val="4A7B2700"/>
    <w:rsid w:val="4E1C64F6"/>
    <w:rsid w:val="4E4B6454"/>
    <w:rsid w:val="4F145070"/>
    <w:rsid w:val="5073598C"/>
    <w:rsid w:val="522A30F1"/>
    <w:rsid w:val="524467E0"/>
    <w:rsid w:val="54BD1A0D"/>
    <w:rsid w:val="554149BF"/>
    <w:rsid w:val="556B21D1"/>
    <w:rsid w:val="56121E41"/>
    <w:rsid w:val="58E83F64"/>
    <w:rsid w:val="595A2602"/>
    <w:rsid w:val="599B09DF"/>
    <w:rsid w:val="5B4C4063"/>
    <w:rsid w:val="5BF34E01"/>
    <w:rsid w:val="5BF92475"/>
    <w:rsid w:val="5C761A85"/>
    <w:rsid w:val="5D2772AB"/>
    <w:rsid w:val="5D2D6150"/>
    <w:rsid w:val="5E0A2849"/>
    <w:rsid w:val="5E8C2FEB"/>
    <w:rsid w:val="5F8A1E93"/>
    <w:rsid w:val="65B72C59"/>
    <w:rsid w:val="6655667C"/>
    <w:rsid w:val="66CC0CD3"/>
    <w:rsid w:val="68600824"/>
    <w:rsid w:val="68A8159A"/>
    <w:rsid w:val="68DE6DAC"/>
    <w:rsid w:val="6C094140"/>
    <w:rsid w:val="6CCF4F68"/>
    <w:rsid w:val="712A66B5"/>
    <w:rsid w:val="71C53769"/>
    <w:rsid w:val="71D36D7A"/>
    <w:rsid w:val="746F2FAE"/>
    <w:rsid w:val="74BF7D11"/>
    <w:rsid w:val="75C90F16"/>
    <w:rsid w:val="76031347"/>
    <w:rsid w:val="78FC11DC"/>
    <w:rsid w:val="79B958BE"/>
    <w:rsid w:val="7BAF6224"/>
    <w:rsid w:val="7BBC408A"/>
    <w:rsid w:val="7CCD2F68"/>
    <w:rsid w:val="7D052701"/>
    <w:rsid w:val="7F17164D"/>
    <w:rsid w:val="7F7E3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numPr>
        <w:ilvl w:val="0"/>
        <w:numId w:val="0"/>
      </w:numPr>
      <w:spacing w:before="100" w:beforeLines="100" w:beforeAutospacing="0" w:after="100" w:afterLines="100" w:afterAutospacing="0" w:line="240" w:lineRule="auto"/>
      <w:ind w:left="0" w:firstLine="0"/>
      <w:outlineLvl w:val="0"/>
    </w:pPr>
    <w:rPr>
      <w:rFonts w:ascii="黑体" w:hAnsi="黑体" w:eastAsia="黑体"/>
      <w:kern w:val="44"/>
      <w:sz w:val="28"/>
    </w:rPr>
  </w:style>
  <w:style w:type="paragraph" w:styleId="3">
    <w:name w:val="heading 2"/>
    <w:basedOn w:val="1"/>
    <w:next w:val="1"/>
    <w:autoRedefine/>
    <w:semiHidden/>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4">
    <w:name w:val="annotation text"/>
    <w:basedOn w:val="1"/>
    <w:autoRedefine/>
    <w:qFormat/>
    <w:uiPriority w:val="0"/>
    <w:pPr>
      <w:jc w:val="left"/>
    </w:pPr>
  </w:style>
  <w:style w:type="paragraph" w:styleId="5">
    <w:name w:val="Body Text"/>
    <w:basedOn w:val="1"/>
    <w:autoRedefine/>
    <w:qFormat/>
    <w:uiPriority w:val="1"/>
    <w:pPr>
      <w:ind w:left="0" w:firstLine="420" w:firstLineChars="200"/>
    </w:pPr>
    <w:rPr>
      <w:rFonts w:ascii="宋体" w:hAnsi="宋体"/>
      <w:sz w:val="28"/>
      <w:szCs w:val="21"/>
    </w:rPr>
  </w:style>
  <w:style w:type="paragraph" w:styleId="6">
    <w:name w:val="footer"/>
    <w:basedOn w:val="1"/>
    <w:autoRedefine/>
    <w:qFormat/>
    <w:uiPriority w:val="99"/>
    <w:pPr>
      <w:tabs>
        <w:tab w:val="center" w:pos="4153"/>
        <w:tab w:val="right" w:pos="8306"/>
      </w:tabs>
      <w:snapToGrid w:val="0"/>
      <w:jc w:val="left"/>
    </w:pPr>
    <w:rPr>
      <w:kern w:val="0"/>
      <w:sz w:val="18"/>
      <w:szCs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qFormat/>
    <w:uiPriority w:val="39"/>
  </w:style>
  <w:style w:type="paragraph" w:styleId="9">
    <w:name w:val="toc 2"/>
    <w:basedOn w:val="1"/>
    <w:next w:val="1"/>
    <w:autoRedefine/>
    <w:qFormat/>
    <w:uiPriority w:val="39"/>
    <w:pPr>
      <w:ind w:left="420" w:leftChars="200"/>
    </w:pPr>
  </w:style>
  <w:style w:type="paragraph" w:styleId="10">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1">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14">
    <w:name w:val="Hyperlink"/>
    <w:autoRedefine/>
    <w:unhideWhenUsed/>
    <w:qFormat/>
    <w:uiPriority w:val="99"/>
    <w:rPr>
      <w:color w:val="0000FF"/>
      <w:u w:val="none"/>
    </w:rPr>
  </w:style>
  <w:style w:type="paragraph" w:customStyle="1" w:styleId="15">
    <w:name w:val="实施日期"/>
    <w:basedOn w:val="16"/>
    <w:autoRedefine/>
    <w:qFormat/>
    <w:uiPriority w:val="0"/>
    <w:pPr>
      <w:framePr w:wrap="around" w:vAnchor="page" w:hAnchor="text"/>
      <w:jc w:val="right"/>
    </w:pPr>
  </w:style>
  <w:style w:type="paragraph" w:customStyle="1" w:styleId="16">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7">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18">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9">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20">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21">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2">
    <w:name w:val="发布部门"/>
    <w:next w:val="1"/>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23">
    <w:name w:val="WPSOffice手动目录 1"/>
    <w:autoRedefine/>
    <w:qFormat/>
    <w:uiPriority w:val="0"/>
    <w:pPr>
      <w:ind w:leftChars="0"/>
    </w:pPr>
    <w:rPr>
      <w:rFonts w:ascii="Times New Roman" w:hAnsi="Times New Roman" w:eastAsia="宋体" w:cs="Times New Roman"/>
      <w:sz w:val="20"/>
      <w:szCs w:val="20"/>
    </w:rPr>
  </w:style>
  <w:style w:type="paragraph" w:customStyle="1" w:styleId="24">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183</Words>
  <Characters>259</Characters>
  <Lines>0</Lines>
  <Paragraphs>0</Paragraphs>
  <TotalTime>0</TotalTime>
  <ScaleCrop>false</ScaleCrop>
  <LinksUpToDate>false</LinksUpToDate>
  <CharactersWithSpaces>274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2024-04-07T02:30:00Z</dcterms:created>
  <dc:creator>王琦</dc:creator>
  <cp:lastModifiedBy>杨～有机认证</cp:lastModifiedBy>
  <dcterms:modified xsi:type="dcterms:W3CDTF">2024-11-20T09:03:47Z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32509FF7CD8E4CFEBF33D46CDC3CBBFF_13</vt:lpwstr>
  </property>
</Properties>
</file>